
<file path=[Content_Types].xml><?xml version="1.0" encoding="utf-8"?>
<Types xmlns="http://schemas.openxmlformats.org/package/2006/content-types">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1.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2A131A54" w14:textId="77777777" w:rsidTr="00E97D0D">
        <w:trPr>
          <w:trHeight w:val="852"/>
          <w:jc w:val="center"/>
        </w:trPr>
        <w:tc>
          <w:tcPr>
            <w:tcW w:w="6940" w:type="dxa"/>
            <w:vMerge w:val="restart"/>
            <w:tcBorders>
              <w:right w:val="single" w:sz="4" w:space="0" w:color="auto"/>
            </w:tcBorders>
          </w:tcPr>
          <w:p w14:paraId="38C3D2BA" w14:textId="77777777" w:rsidR="000A03B2" w:rsidRPr="00B57B36" w:rsidRDefault="000A03B2" w:rsidP="00DE264A">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val="it-IT"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530285EB" w:rsidR="000A03B2" w:rsidRPr="00B57B36" w:rsidRDefault="00A76EFC" w:rsidP="001D21AF">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r w:rsidR="0030152C">
              <w:rPr>
                <w:rFonts w:cs="Arial"/>
                <w:b/>
                <w:bCs/>
                <w:i/>
                <w:iCs/>
                <w:color w:val="000066"/>
                <w:sz w:val="22"/>
                <w:szCs w:val="22"/>
                <w:lang w:eastAsia="it-IT"/>
              </w:rPr>
              <w:t xml:space="preserve"> </w:t>
            </w:r>
            <w:proofErr w:type="gramStart"/>
            <w:r w:rsidR="0030152C">
              <w:rPr>
                <w:rFonts w:cs="Arial"/>
                <w:b/>
                <w:bCs/>
                <w:i/>
                <w:iCs/>
                <w:color w:val="000066"/>
                <w:sz w:val="22"/>
                <w:szCs w:val="22"/>
                <w:lang w:eastAsia="it-IT"/>
              </w:rPr>
              <w:t xml:space="preserve">  </w:t>
            </w:r>
            <w:r w:rsidR="007B48F9">
              <w:rPr>
                <w:rFonts w:cs="Arial"/>
                <w:b/>
                <w:bCs/>
                <w:i/>
                <w:iCs/>
                <w:color w:val="000066"/>
                <w:sz w:val="22"/>
                <w:szCs w:val="22"/>
                <w:lang w:eastAsia="it-IT"/>
              </w:rPr>
              <w:t>,</w:t>
            </w:r>
            <w:proofErr w:type="gramEnd"/>
            <w:r w:rsidR="00FA5F5F">
              <w:rPr>
                <w:rFonts w:cs="Arial"/>
                <w:b/>
                <w:bCs/>
                <w:i/>
                <w:iCs/>
                <w:color w:val="000066"/>
                <w:sz w:val="22"/>
                <w:szCs w:val="22"/>
                <w:lang w:eastAsia="it-IT"/>
              </w:rPr>
              <w:t xml:space="preserve"> </w:t>
            </w:r>
            <w:r w:rsidR="0030152C">
              <w:rPr>
                <w:rFonts w:cs="Arial"/>
                <w:b/>
                <w:bCs/>
                <w:i/>
                <w:iCs/>
                <w:color w:val="000066"/>
                <w:sz w:val="22"/>
                <w:szCs w:val="22"/>
                <w:lang w:eastAsia="it-IT"/>
              </w:rPr>
              <w:t>2023</w:t>
            </w:r>
          </w:p>
        </w:tc>
        <w:tc>
          <w:tcPr>
            <w:tcW w:w="1842"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val="it-IT"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380FA3CD" w14:textId="77777777" w:rsidTr="00E97D0D">
        <w:trPr>
          <w:trHeight w:val="567"/>
          <w:jc w:val="center"/>
        </w:trPr>
        <w:tc>
          <w:tcPr>
            <w:tcW w:w="6940" w:type="dxa"/>
            <w:vMerge/>
            <w:tcBorders>
              <w:right w:val="single" w:sz="4" w:space="0" w:color="auto"/>
            </w:tcBorders>
          </w:tcPr>
          <w:p w14:paraId="39E5E4C1" w14:textId="77777777" w:rsidR="000A03B2" w:rsidRPr="00B57B36" w:rsidRDefault="000A03B2" w:rsidP="00CD5FE2">
            <w:pPr>
              <w:tabs>
                <w:tab w:val="left" w:pos="-108"/>
              </w:tabs>
            </w:pPr>
          </w:p>
        </w:tc>
        <w:tc>
          <w:tcPr>
            <w:tcW w:w="1842"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47FDB2FC" w:rsidR="000A03B2" w:rsidRPr="000D0268" w:rsidRDefault="000D0268" w:rsidP="00CD5FE2">
            <w:pPr>
              <w:spacing w:line="140" w:lineRule="atLeast"/>
              <w:jc w:val="right"/>
              <w:rPr>
                <w:rFonts w:cs="Arial"/>
                <w:sz w:val="13"/>
                <w:szCs w:val="13"/>
              </w:rPr>
            </w:pPr>
            <w:r w:rsidRPr="000D0268">
              <w:rPr>
                <w:rFonts w:cs="Arial"/>
                <w:sz w:val="13"/>
                <w:szCs w:val="13"/>
              </w:rPr>
              <w:t>Online at www.cetjournal.it</w:t>
            </w:r>
          </w:p>
        </w:tc>
      </w:tr>
      <w:tr w:rsidR="000A03B2" w:rsidRPr="00B57B36" w14:paraId="2D1B7169" w14:textId="77777777" w:rsidTr="00E97D0D">
        <w:trPr>
          <w:trHeight w:val="68"/>
          <w:jc w:val="center"/>
        </w:trPr>
        <w:tc>
          <w:tcPr>
            <w:tcW w:w="8782" w:type="dxa"/>
            <w:gridSpan w:val="2"/>
          </w:tcPr>
          <w:p w14:paraId="1D8DD3C9" w14:textId="10669D10" w:rsidR="00AA7D26" w:rsidRPr="005E7C48" w:rsidRDefault="00AA7D26" w:rsidP="00AA7D26">
            <w:pPr>
              <w:ind w:left="-107"/>
              <w:outlineLvl w:val="2"/>
              <w:rPr>
                <w:rFonts w:ascii="Tahoma" w:hAnsi="Tahoma" w:cs="Tahoma"/>
                <w:bCs/>
                <w:color w:val="000000"/>
                <w:sz w:val="14"/>
                <w:szCs w:val="14"/>
                <w:lang w:val="it-IT" w:eastAsia="it-IT"/>
              </w:rPr>
            </w:pPr>
            <w:r w:rsidRPr="003A6FC6">
              <w:rPr>
                <w:rFonts w:ascii="Tahoma" w:hAnsi="Tahoma" w:cs="Tahoma"/>
                <w:iCs/>
                <w:color w:val="333333"/>
                <w:sz w:val="14"/>
                <w:szCs w:val="14"/>
                <w:lang w:val="it-IT" w:eastAsia="it-IT"/>
              </w:rPr>
              <w:t>Guest Editors:</w:t>
            </w:r>
            <w:r w:rsidRPr="003A6FC6">
              <w:rPr>
                <w:rFonts w:ascii="Tahoma" w:hAnsi="Tahoma" w:cs="Tahoma"/>
                <w:color w:val="000000"/>
                <w:sz w:val="14"/>
                <w:szCs w:val="14"/>
                <w:shd w:val="clear" w:color="auto" w:fill="FFFFFF"/>
                <w:lang w:val="it-IT"/>
              </w:rPr>
              <w:t xml:space="preserve"> </w:t>
            </w:r>
            <w:r w:rsidR="005E7C48" w:rsidRPr="005E7C48">
              <w:rPr>
                <w:sz w:val="14"/>
                <w:szCs w:val="14"/>
                <w:lang w:val="it-IT"/>
              </w:rPr>
              <w:t>David Bogle, Flavio Manenti, Piero Salatino</w:t>
            </w:r>
          </w:p>
          <w:p w14:paraId="1B0F1814" w14:textId="6981DC84" w:rsidR="000A03B2" w:rsidRPr="00B57B36" w:rsidRDefault="00AA7D26" w:rsidP="00AA7D26">
            <w:pPr>
              <w:tabs>
                <w:tab w:val="left" w:pos="-108"/>
              </w:tabs>
              <w:spacing w:line="140" w:lineRule="atLeast"/>
              <w:ind w:left="-107"/>
              <w:jc w:val="left"/>
            </w:pPr>
            <w:r>
              <w:rPr>
                <w:rFonts w:ascii="Tahoma" w:hAnsi="Tahoma" w:cs="Tahoma"/>
                <w:iCs/>
                <w:color w:val="333333"/>
                <w:sz w:val="14"/>
                <w:szCs w:val="14"/>
                <w:lang w:eastAsia="it-IT"/>
              </w:rPr>
              <w:t>Copyright © 2023</w:t>
            </w:r>
            <w:r w:rsidRPr="00B57B36">
              <w:rPr>
                <w:rFonts w:ascii="Tahoma" w:hAnsi="Tahoma" w:cs="Tahoma"/>
                <w:iCs/>
                <w:color w:val="333333"/>
                <w:sz w:val="14"/>
                <w:szCs w:val="14"/>
                <w:lang w:eastAsia="it-IT"/>
              </w:rPr>
              <w:t xml:space="preserve">, AIDIC Servizi </w:t>
            </w:r>
            <w:proofErr w:type="spellStart"/>
            <w:r w:rsidRPr="00B57B36">
              <w:rPr>
                <w:rFonts w:ascii="Tahoma" w:hAnsi="Tahoma" w:cs="Tahoma"/>
                <w:iCs/>
                <w:color w:val="333333"/>
                <w:sz w:val="14"/>
                <w:szCs w:val="14"/>
                <w:lang w:eastAsia="it-IT"/>
              </w:rPr>
              <w:t>S.r.l</w:t>
            </w:r>
            <w:proofErr w:type="spellEnd"/>
            <w:r w:rsidRPr="00B57B36">
              <w:rPr>
                <w:rFonts w:ascii="Tahoma" w:hAnsi="Tahoma" w:cs="Tahoma"/>
                <w:iCs/>
                <w:color w:val="333333"/>
                <w:sz w:val="14"/>
                <w:szCs w:val="14"/>
                <w:lang w:eastAsia="it-IT"/>
              </w:rPr>
              <w:t>.</w:t>
            </w:r>
            <w:r w:rsidRPr="00B57B36">
              <w:rPr>
                <w:rFonts w:ascii="Tahoma" w:hAnsi="Tahoma" w:cs="Tahoma"/>
                <w:iCs/>
                <w:color w:val="333333"/>
                <w:sz w:val="14"/>
                <w:szCs w:val="14"/>
                <w:lang w:eastAsia="it-IT"/>
              </w:rPr>
              <w:br/>
            </w:r>
            <w:r w:rsidRPr="00B57B36">
              <w:rPr>
                <w:rFonts w:ascii="Tahoma" w:hAnsi="Tahoma" w:cs="Tahoma"/>
                <w:b/>
                <w:iCs/>
                <w:color w:val="000000"/>
                <w:sz w:val="14"/>
                <w:szCs w:val="14"/>
                <w:lang w:eastAsia="it-IT"/>
              </w:rPr>
              <w:t>ISBN</w:t>
            </w:r>
            <w:r w:rsidRPr="00B57B36">
              <w:rPr>
                <w:rFonts w:ascii="Tahoma" w:hAnsi="Tahoma" w:cs="Tahoma"/>
                <w:iCs/>
                <w:color w:val="000000"/>
                <w:sz w:val="14"/>
                <w:szCs w:val="14"/>
                <w:lang w:eastAsia="it-IT"/>
              </w:rPr>
              <w:t xml:space="preserve"> </w:t>
            </w:r>
            <w:r w:rsidR="008B7C03" w:rsidRPr="000562A9">
              <w:rPr>
                <w:rFonts w:ascii="Tahoma" w:hAnsi="Tahoma" w:cs="Tahoma"/>
                <w:sz w:val="14"/>
                <w:szCs w:val="14"/>
              </w:rPr>
              <w:t>97</w:t>
            </w:r>
            <w:r w:rsidR="008B7C03">
              <w:rPr>
                <w:rFonts w:ascii="Tahoma" w:hAnsi="Tahoma" w:cs="Tahoma"/>
                <w:sz w:val="14"/>
                <w:szCs w:val="14"/>
              </w:rPr>
              <w:t>9</w:t>
            </w:r>
            <w:r w:rsidR="008B7C03" w:rsidRPr="000562A9">
              <w:rPr>
                <w:rFonts w:ascii="Tahoma" w:hAnsi="Tahoma" w:cs="Tahoma"/>
                <w:sz w:val="14"/>
                <w:szCs w:val="14"/>
              </w:rPr>
              <w:t>-</w:t>
            </w:r>
            <w:r w:rsidR="008B7C03">
              <w:rPr>
                <w:rFonts w:ascii="Tahoma" w:hAnsi="Tahoma" w:cs="Tahoma"/>
                <w:sz w:val="14"/>
                <w:szCs w:val="14"/>
              </w:rPr>
              <w:t>12</w:t>
            </w:r>
            <w:r w:rsidR="008B7C03" w:rsidRPr="000562A9">
              <w:rPr>
                <w:rFonts w:ascii="Tahoma" w:hAnsi="Tahoma" w:cs="Tahoma"/>
                <w:sz w:val="14"/>
                <w:szCs w:val="14"/>
              </w:rPr>
              <w:t>-</w:t>
            </w:r>
            <w:r w:rsidR="008B7C03">
              <w:rPr>
                <w:rFonts w:ascii="Tahoma" w:hAnsi="Tahoma" w:cs="Tahoma"/>
                <w:sz w:val="14"/>
                <w:szCs w:val="14"/>
              </w:rPr>
              <w:t>81206</w:t>
            </w:r>
            <w:r>
              <w:rPr>
                <w:rFonts w:ascii="Tahoma" w:hAnsi="Tahoma" w:cs="Tahoma"/>
                <w:sz w:val="14"/>
                <w:szCs w:val="14"/>
              </w:rPr>
              <w:t>-</w:t>
            </w:r>
            <w:r w:rsidR="00E33DD7">
              <w:rPr>
                <w:rFonts w:ascii="Tahoma" w:hAnsi="Tahoma" w:cs="Tahoma"/>
                <w:sz w:val="14"/>
                <w:szCs w:val="14"/>
              </w:rPr>
              <w:t>0</w:t>
            </w:r>
            <w:r w:rsidR="005E7C48">
              <w:rPr>
                <w:rFonts w:ascii="Tahoma" w:hAnsi="Tahoma" w:cs="Tahoma"/>
                <w:sz w:val="14"/>
                <w:szCs w:val="14"/>
              </w:rPr>
              <w:t>4</w:t>
            </w:r>
            <w:r>
              <w:rPr>
                <w:rFonts w:ascii="Tahoma" w:hAnsi="Tahoma" w:cs="Tahoma"/>
                <w:sz w:val="14"/>
                <w:szCs w:val="14"/>
              </w:rPr>
              <w:t>-</w:t>
            </w:r>
            <w:r w:rsidR="005E7C48">
              <w:rPr>
                <w:rFonts w:ascii="Tahoma" w:hAnsi="Tahoma" w:cs="Tahoma"/>
                <w:sz w:val="14"/>
                <w:szCs w:val="14"/>
              </w:rPr>
              <w:t>5</w:t>
            </w:r>
            <w:r w:rsidRPr="00EF06D9">
              <w:rPr>
                <w:rFonts w:ascii="Tahoma" w:hAnsi="Tahoma" w:cs="Tahoma"/>
                <w:iCs/>
                <w:color w:val="333333"/>
                <w:sz w:val="14"/>
                <w:szCs w:val="14"/>
                <w:lang w:eastAsia="it-IT"/>
              </w:rPr>
              <w:t>;</w:t>
            </w:r>
            <w:r w:rsidRPr="00B57B36">
              <w:rPr>
                <w:rFonts w:ascii="Tahoma" w:hAnsi="Tahoma" w:cs="Tahoma"/>
                <w:iCs/>
                <w:color w:val="333333"/>
                <w:sz w:val="14"/>
                <w:szCs w:val="14"/>
                <w:lang w:eastAsia="it-IT"/>
              </w:rPr>
              <w:t xml:space="preserve"> </w:t>
            </w:r>
            <w:r w:rsidRPr="00B57B36">
              <w:rPr>
                <w:rFonts w:ascii="Tahoma" w:hAnsi="Tahoma" w:cs="Tahoma"/>
                <w:b/>
                <w:iCs/>
                <w:color w:val="333333"/>
                <w:sz w:val="14"/>
                <w:szCs w:val="14"/>
                <w:lang w:eastAsia="it-IT"/>
              </w:rPr>
              <w:t>ISSN</w:t>
            </w:r>
            <w:r w:rsidRPr="00B57B36">
              <w:rPr>
                <w:rFonts w:ascii="Tahoma" w:hAnsi="Tahoma" w:cs="Tahoma"/>
                <w:iCs/>
                <w:color w:val="333333"/>
                <w:sz w:val="14"/>
                <w:szCs w:val="14"/>
                <w:lang w:eastAsia="it-IT"/>
              </w:rPr>
              <w:t xml:space="preserve"> 2283-9216</w:t>
            </w:r>
          </w:p>
        </w:tc>
      </w:tr>
    </w:tbl>
    <w:p w14:paraId="421D40B4" w14:textId="74B87CF0" w:rsidR="00E97D0D" w:rsidRDefault="00E97D0D" w:rsidP="00E97D0D">
      <w:pPr>
        <w:pStyle w:val="CETAuthors"/>
        <w:jc w:val="center"/>
        <w:rPr>
          <w:noProof w:val="0"/>
          <w:sz w:val="32"/>
        </w:rPr>
      </w:pPr>
      <w:r w:rsidRPr="00E97D0D">
        <w:rPr>
          <w:noProof w:val="0"/>
          <w:sz w:val="32"/>
        </w:rPr>
        <w:t xml:space="preserve">Exploitation of microalgae biomass </w:t>
      </w:r>
      <w:r w:rsidR="002F0D72">
        <w:rPr>
          <w:noProof w:val="0"/>
          <w:sz w:val="32"/>
        </w:rPr>
        <w:t>under a</w:t>
      </w:r>
      <w:r w:rsidR="000F4704">
        <w:rPr>
          <w:noProof w:val="0"/>
          <w:sz w:val="32"/>
        </w:rPr>
        <w:t>n integrated</w:t>
      </w:r>
      <w:r w:rsidR="002F0D72">
        <w:rPr>
          <w:noProof w:val="0"/>
          <w:sz w:val="32"/>
        </w:rPr>
        <w:t xml:space="preserve"> biorefinery approach</w:t>
      </w:r>
    </w:p>
    <w:p w14:paraId="4C8DF28B" w14:textId="63035BF8" w:rsidR="00E97D0D" w:rsidRPr="00600794" w:rsidRDefault="00E97D0D" w:rsidP="00B57E6F">
      <w:pPr>
        <w:pStyle w:val="CETAddress"/>
        <w:rPr>
          <w:sz w:val="24"/>
          <w:lang w:val="it-IT"/>
        </w:rPr>
      </w:pPr>
      <w:r w:rsidRPr="00600794">
        <w:rPr>
          <w:sz w:val="24"/>
          <w:lang w:val="it-IT"/>
        </w:rPr>
        <w:t>Lima S.</w:t>
      </w:r>
      <w:r w:rsidR="002834E8" w:rsidRPr="00600794">
        <w:rPr>
          <w:sz w:val="24"/>
          <w:lang w:val="it-IT"/>
        </w:rPr>
        <w:t xml:space="preserve"> </w:t>
      </w:r>
      <w:r w:rsidR="002834E8" w:rsidRPr="00600794">
        <w:rPr>
          <w:sz w:val="24"/>
          <w:vertAlign w:val="superscript"/>
          <w:lang w:val="it-IT"/>
        </w:rPr>
        <w:t>a</w:t>
      </w:r>
      <w:r w:rsidRPr="00600794">
        <w:rPr>
          <w:sz w:val="24"/>
          <w:lang w:val="it-IT"/>
        </w:rPr>
        <w:t>, Biundo A.</w:t>
      </w:r>
      <w:r w:rsidR="002834E8" w:rsidRPr="00600794">
        <w:rPr>
          <w:sz w:val="24"/>
          <w:lang w:val="it-IT"/>
        </w:rPr>
        <w:t xml:space="preserve"> </w:t>
      </w:r>
      <w:r w:rsidR="002834E8" w:rsidRPr="00600794">
        <w:rPr>
          <w:sz w:val="24"/>
          <w:vertAlign w:val="superscript"/>
          <w:lang w:val="it-IT"/>
        </w:rPr>
        <w:t>b</w:t>
      </w:r>
      <w:r w:rsidRPr="00600794">
        <w:rPr>
          <w:sz w:val="24"/>
          <w:lang w:val="it-IT"/>
        </w:rPr>
        <w:t>, Caputo G.</w:t>
      </w:r>
      <w:r w:rsidRPr="00600794">
        <w:rPr>
          <w:sz w:val="24"/>
          <w:vertAlign w:val="superscript"/>
          <w:lang w:val="it-IT"/>
        </w:rPr>
        <w:t>a</w:t>
      </w:r>
      <w:r w:rsidRPr="00600794">
        <w:rPr>
          <w:sz w:val="24"/>
          <w:lang w:val="it-IT"/>
        </w:rPr>
        <w:t xml:space="preserve">, </w:t>
      </w:r>
      <w:r w:rsidR="002834E8" w:rsidRPr="00600794">
        <w:rPr>
          <w:sz w:val="24"/>
          <w:lang w:val="it-IT"/>
        </w:rPr>
        <w:t>García-López</w:t>
      </w:r>
      <w:r w:rsidRPr="00600794">
        <w:rPr>
          <w:sz w:val="24"/>
          <w:lang w:val="it-IT"/>
        </w:rPr>
        <w:t xml:space="preserve"> E.</w:t>
      </w:r>
      <w:r w:rsidRPr="00600794">
        <w:rPr>
          <w:sz w:val="24"/>
          <w:vertAlign w:val="superscript"/>
          <w:lang w:val="it-IT"/>
        </w:rPr>
        <w:t>c</w:t>
      </w:r>
      <w:r w:rsidRPr="00600794">
        <w:rPr>
          <w:sz w:val="24"/>
          <w:lang w:val="it-IT"/>
        </w:rPr>
        <w:t>, Marcì G.</w:t>
      </w:r>
      <w:r w:rsidRPr="00600794">
        <w:rPr>
          <w:sz w:val="24"/>
          <w:vertAlign w:val="superscript"/>
          <w:lang w:val="it-IT"/>
        </w:rPr>
        <w:t>a</w:t>
      </w:r>
      <w:r w:rsidRPr="00600794">
        <w:rPr>
          <w:sz w:val="24"/>
          <w:lang w:val="it-IT"/>
        </w:rPr>
        <w:t>, Agrimi G.</w:t>
      </w:r>
      <w:r w:rsidRPr="00600794">
        <w:rPr>
          <w:sz w:val="24"/>
          <w:vertAlign w:val="superscript"/>
          <w:lang w:val="it-IT"/>
        </w:rPr>
        <w:t>b</w:t>
      </w:r>
      <w:r w:rsidRPr="00600794">
        <w:rPr>
          <w:sz w:val="24"/>
          <w:lang w:val="it-IT"/>
        </w:rPr>
        <w:t>, Pisano I.</w:t>
      </w:r>
      <w:r w:rsidR="002834E8" w:rsidRPr="00600794">
        <w:rPr>
          <w:sz w:val="24"/>
          <w:lang w:val="it-IT"/>
        </w:rPr>
        <w:t xml:space="preserve"> </w:t>
      </w:r>
      <w:r w:rsidR="002834E8" w:rsidRPr="00600794">
        <w:rPr>
          <w:sz w:val="24"/>
          <w:vertAlign w:val="superscript"/>
          <w:lang w:val="it-IT"/>
        </w:rPr>
        <w:t>b</w:t>
      </w:r>
      <w:r w:rsidRPr="00600794">
        <w:rPr>
          <w:sz w:val="24"/>
          <w:lang w:val="it-IT"/>
        </w:rPr>
        <w:t>, Scargiali F</w:t>
      </w:r>
      <w:r w:rsidR="002834E8" w:rsidRPr="00600794">
        <w:rPr>
          <w:sz w:val="24"/>
          <w:lang w:val="it-IT"/>
        </w:rPr>
        <w:t xml:space="preserve">. </w:t>
      </w:r>
      <w:r w:rsidRPr="00600794">
        <w:rPr>
          <w:sz w:val="24"/>
          <w:vertAlign w:val="superscript"/>
          <w:lang w:val="it-IT"/>
        </w:rPr>
        <w:t>a</w:t>
      </w:r>
      <w:r w:rsidRPr="00600794">
        <w:rPr>
          <w:sz w:val="24"/>
          <w:lang w:val="it-IT"/>
        </w:rPr>
        <w:t>.</w:t>
      </w:r>
    </w:p>
    <w:p w14:paraId="26FFE430" w14:textId="2C44C438" w:rsidR="002834E8" w:rsidRDefault="00B57E6F" w:rsidP="002834E8">
      <w:pPr>
        <w:pStyle w:val="CETAddress"/>
        <w:rPr>
          <w:lang w:val="it-IT"/>
        </w:rPr>
      </w:pPr>
      <w:r w:rsidRPr="00600794">
        <w:rPr>
          <w:vertAlign w:val="superscript"/>
          <w:lang w:val="it-IT"/>
        </w:rPr>
        <w:t>a</w:t>
      </w:r>
      <w:r w:rsidR="002834E8" w:rsidRPr="002834E8">
        <w:rPr>
          <w:vertAlign w:val="superscript"/>
          <w:lang w:val="it-IT"/>
        </w:rPr>
        <w:t xml:space="preserve"> </w:t>
      </w:r>
      <w:r w:rsidR="002834E8" w:rsidRPr="008E3990">
        <w:rPr>
          <w:lang w:val="it-IT"/>
        </w:rPr>
        <w:t>Universit</w:t>
      </w:r>
      <w:r w:rsidR="009B196E">
        <w:rPr>
          <w:lang w:val="it-IT"/>
        </w:rPr>
        <w:t>à</w:t>
      </w:r>
      <w:r w:rsidR="002834E8" w:rsidRPr="008E3990">
        <w:rPr>
          <w:lang w:val="it-IT"/>
        </w:rPr>
        <w:t xml:space="preserve"> di Palermo, D</w:t>
      </w:r>
      <w:r w:rsidR="009B196E">
        <w:rPr>
          <w:lang w:val="it-IT"/>
        </w:rPr>
        <w:t>e</w:t>
      </w:r>
      <w:r w:rsidR="002834E8" w:rsidRPr="008E3990">
        <w:rPr>
          <w:lang w:val="it-IT"/>
        </w:rPr>
        <w:t>partment</w:t>
      </w:r>
      <w:r w:rsidR="009B196E">
        <w:rPr>
          <w:lang w:val="it-IT"/>
        </w:rPr>
        <w:t xml:space="preserve"> of Engineering</w:t>
      </w:r>
      <w:r w:rsidR="002834E8" w:rsidRPr="008E3990">
        <w:rPr>
          <w:lang w:val="it-IT"/>
        </w:rPr>
        <w:t>, Viale delle Scie</w:t>
      </w:r>
      <w:r w:rsidR="002834E8">
        <w:rPr>
          <w:lang w:val="it-IT"/>
        </w:rPr>
        <w:t>nze Ed. 6, 90128 Palermo, Italy</w:t>
      </w:r>
    </w:p>
    <w:p w14:paraId="3D72B0B0" w14:textId="638A4272" w:rsidR="00B57E6F" w:rsidRPr="00600794" w:rsidRDefault="00B57E6F" w:rsidP="00B57E6F">
      <w:pPr>
        <w:pStyle w:val="CETAddress"/>
        <w:rPr>
          <w:lang w:val="it-IT"/>
        </w:rPr>
      </w:pPr>
      <w:r w:rsidRPr="00600794">
        <w:rPr>
          <w:vertAlign w:val="superscript"/>
          <w:lang w:val="it-IT"/>
        </w:rPr>
        <w:t>b</w:t>
      </w:r>
      <w:r w:rsidR="002834E8" w:rsidRPr="00600794">
        <w:rPr>
          <w:vertAlign w:val="superscript"/>
          <w:lang w:val="it-IT"/>
        </w:rPr>
        <w:t xml:space="preserve"> </w:t>
      </w:r>
      <w:r w:rsidR="009B196E" w:rsidRPr="00600794">
        <w:rPr>
          <w:lang w:val="it-IT"/>
        </w:rPr>
        <w:t xml:space="preserve">Università di Bari Aldo Moro, </w:t>
      </w:r>
      <w:r w:rsidRPr="00600794">
        <w:rPr>
          <w:lang w:val="it-IT"/>
        </w:rPr>
        <w:t xml:space="preserve"> </w:t>
      </w:r>
      <w:r w:rsidR="009B196E" w:rsidRPr="00600794">
        <w:rPr>
          <w:lang w:val="it-IT"/>
        </w:rPr>
        <w:t>Department of Biosciences, biotechnology and environment, Via Orabona 4, 70125 Bari, Italy.</w:t>
      </w:r>
    </w:p>
    <w:p w14:paraId="7ADA1650" w14:textId="59ADB98E" w:rsidR="002834E8" w:rsidRPr="00600794" w:rsidRDefault="002834E8" w:rsidP="00B57E6F">
      <w:pPr>
        <w:pStyle w:val="CETAddress"/>
        <w:rPr>
          <w:lang w:val="it-IT"/>
        </w:rPr>
      </w:pPr>
      <w:r w:rsidRPr="00600794">
        <w:rPr>
          <w:vertAlign w:val="superscript"/>
          <w:lang w:val="it-IT"/>
        </w:rPr>
        <w:t>c</w:t>
      </w:r>
      <w:r w:rsidRPr="00600794">
        <w:rPr>
          <w:lang w:val="it-IT"/>
        </w:rPr>
        <w:t xml:space="preserve"> Università di Palermo, STEBICEF, Viale delle Scienze Ed. 16, 90128 Palermo, Italy</w:t>
      </w:r>
    </w:p>
    <w:p w14:paraId="73F1267A" w14:textId="3CF63A44" w:rsidR="00B57E6F" w:rsidRPr="00B57B36" w:rsidRDefault="00B57E6F" w:rsidP="00B57E6F">
      <w:pPr>
        <w:pStyle w:val="CETemail"/>
      </w:pPr>
      <w:r w:rsidRPr="00600794">
        <w:rPr>
          <w:lang w:val="it-IT"/>
        </w:rPr>
        <w:t xml:space="preserve"> </w:t>
      </w:r>
      <w:r w:rsidR="008D65FD">
        <w:t>serena.lima@unipa.it</w:t>
      </w:r>
    </w:p>
    <w:p w14:paraId="0B76E544" w14:textId="09973A01" w:rsidR="008D65FD" w:rsidRPr="008D65FD" w:rsidRDefault="008D65FD" w:rsidP="008D65FD">
      <w:pPr>
        <w:rPr>
          <w:rFonts w:cs="Arial"/>
          <w:szCs w:val="18"/>
        </w:rPr>
      </w:pPr>
      <w:r w:rsidRPr="008D65FD">
        <w:rPr>
          <w:rFonts w:cs="Arial"/>
          <w:color w:val="000000"/>
          <w:szCs w:val="18"/>
          <w:lang w:eastAsia="de-DE"/>
        </w:rPr>
        <w:t xml:space="preserve">As known, microalgae are an appealing source of chemicals and high-value compounds which find application in nutraceuticals, </w:t>
      </w:r>
      <w:proofErr w:type="gramStart"/>
      <w:r w:rsidRPr="008D65FD">
        <w:rPr>
          <w:rFonts w:cs="Arial"/>
          <w:color w:val="000000"/>
          <w:szCs w:val="18"/>
          <w:lang w:eastAsia="de-DE"/>
        </w:rPr>
        <w:t>cosmetics</w:t>
      </w:r>
      <w:proofErr w:type="gramEnd"/>
      <w:r w:rsidRPr="008D65FD">
        <w:rPr>
          <w:rFonts w:cs="Arial"/>
          <w:color w:val="000000"/>
          <w:szCs w:val="18"/>
          <w:lang w:eastAsia="de-DE"/>
        </w:rPr>
        <w:t xml:space="preserve"> and pharmaceutics. Fatty acids (FA)</w:t>
      </w:r>
      <w:proofErr w:type="gramStart"/>
      <w:r w:rsidRPr="008D65FD">
        <w:rPr>
          <w:rFonts w:cs="Arial"/>
          <w:color w:val="000000"/>
          <w:szCs w:val="18"/>
          <w:lang w:eastAsia="de-DE"/>
        </w:rPr>
        <w:t>, in particular, have</w:t>
      </w:r>
      <w:proofErr w:type="gramEnd"/>
      <w:r w:rsidRPr="008D65FD">
        <w:rPr>
          <w:rFonts w:cs="Arial"/>
          <w:color w:val="000000"/>
          <w:szCs w:val="18"/>
          <w:lang w:eastAsia="de-DE"/>
        </w:rPr>
        <w:t xml:space="preserve"> drawn attention to the possibility of employing them as a source of biodiesel alternatively to fossil fuels. In addition, several lipid derivatives have been found in microalgae and may be employed in several biotechnological applications. Hydroxy fatty acids can be substrates for several industrial applications thanks to their functionalization, which increases their reactivity and, for this reason, can be used as </w:t>
      </w:r>
      <w:r w:rsidR="001A0AF6" w:rsidRPr="008D65FD">
        <w:rPr>
          <w:rFonts w:cs="Arial"/>
          <w:color w:val="000000"/>
          <w:szCs w:val="18"/>
          <w:lang w:eastAsia="de-DE"/>
        </w:rPr>
        <w:t>functional building blocks</w:t>
      </w:r>
      <w:r w:rsidR="001A0AF6" w:rsidRPr="001A0AF6">
        <w:rPr>
          <w:rFonts w:cs="Arial"/>
          <w:color w:val="000000"/>
          <w:szCs w:val="18"/>
          <w:lang w:eastAsia="de-DE"/>
        </w:rPr>
        <w:t xml:space="preserve"> </w:t>
      </w:r>
      <w:r w:rsidRPr="008D65FD">
        <w:rPr>
          <w:rFonts w:cs="Arial"/>
          <w:color w:val="000000"/>
          <w:szCs w:val="18"/>
          <w:lang w:eastAsia="de-DE"/>
        </w:rPr>
        <w:t xml:space="preserve">to produce a multitude </w:t>
      </w:r>
      <w:proofErr w:type="gramStart"/>
      <w:r w:rsidRPr="008D65FD">
        <w:rPr>
          <w:rFonts w:cs="Arial"/>
          <w:color w:val="000000"/>
          <w:szCs w:val="18"/>
          <w:lang w:eastAsia="de-DE"/>
        </w:rPr>
        <w:t xml:space="preserve">of </w:t>
      </w:r>
      <w:r w:rsidR="001A0AF6" w:rsidRPr="008D65FD">
        <w:rPr>
          <w:rFonts w:cs="Arial"/>
          <w:color w:val="000000"/>
          <w:szCs w:val="18"/>
          <w:lang w:eastAsia="de-DE"/>
        </w:rPr>
        <w:t xml:space="preserve"> bio</w:t>
      </w:r>
      <w:proofErr w:type="gramEnd"/>
      <w:r w:rsidR="001A0AF6" w:rsidRPr="008D65FD">
        <w:rPr>
          <w:rFonts w:cs="Arial"/>
          <w:color w:val="000000"/>
          <w:szCs w:val="18"/>
          <w:lang w:eastAsia="de-DE"/>
        </w:rPr>
        <w:t>-based material</w:t>
      </w:r>
      <w:r w:rsidR="001A0AF6">
        <w:rPr>
          <w:rFonts w:cs="Arial"/>
          <w:color w:val="000000"/>
          <w:szCs w:val="18"/>
          <w:lang w:eastAsia="de-DE"/>
        </w:rPr>
        <w:t>s</w:t>
      </w:r>
      <w:r w:rsidRPr="008D65FD">
        <w:rPr>
          <w:rFonts w:cs="Arial"/>
          <w:color w:val="000000"/>
          <w:szCs w:val="18"/>
          <w:lang w:eastAsia="de-DE"/>
        </w:rPr>
        <w:t>. Recently, a</w:t>
      </w:r>
      <w:r w:rsidRPr="008D65FD">
        <w:rPr>
          <w:rFonts w:cs="Arial"/>
          <w:szCs w:val="18"/>
        </w:rPr>
        <w:t xml:space="preserve"> promising method for the chemical modification of unsaturated-FAs (U-FA) has appeared. In fact, U-FA may be modified by members of the hydratase enzyme family to produce saturated and unsaturated hydroxy fatty acids with high stereo- and </w:t>
      </w:r>
      <w:proofErr w:type="spellStart"/>
      <w:r w:rsidRPr="008D65FD">
        <w:rPr>
          <w:rFonts w:cs="Arial"/>
          <w:szCs w:val="18"/>
        </w:rPr>
        <w:t>regio</w:t>
      </w:r>
      <w:proofErr w:type="spellEnd"/>
      <w:r w:rsidRPr="008D65FD">
        <w:rPr>
          <w:rFonts w:cs="Arial"/>
          <w:szCs w:val="18"/>
        </w:rPr>
        <w:t xml:space="preserve">-selectivity. These enzymes </w:t>
      </w:r>
      <w:proofErr w:type="gramStart"/>
      <w:r w:rsidRPr="008D65FD">
        <w:rPr>
          <w:rFonts w:cs="Arial"/>
          <w:szCs w:val="18"/>
        </w:rPr>
        <w:t>are able to</w:t>
      </w:r>
      <w:proofErr w:type="gramEnd"/>
      <w:r w:rsidRPr="008D65FD">
        <w:rPr>
          <w:rFonts w:cs="Arial"/>
          <w:szCs w:val="18"/>
        </w:rPr>
        <w:t xml:space="preserve"> introduce a water molecule to the double bond present in the free fatty acids (FFA) Oleic Acid (OA), Linoleic Acid (LA)</w:t>
      </w:r>
      <w:r w:rsidR="00F0290B">
        <w:rPr>
          <w:rFonts w:cs="Arial"/>
          <w:szCs w:val="18"/>
        </w:rPr>
        <w:t xml:space="preserve">, </w:t>
      </w:r>
      <w:r w:rsidRPr="008D65FD">
        <w:rPr>
          <w:rFonts w:cs="Arial"/>
          <w:szCs w:val="18"/>
        </w:rPr>
        <w:t>producing 10-hydroxy fatty acids (10-hydroxy-FAs)</w:t>
      </w:r>
      <w:r w:rsidR="00F0290B">
        <w:rPr>
          <w:rFonts w:cs="Arial"/>
          <w:szCs w:val="18"/>
        </w:rPr>
        <w:t>.</w:t>
      </w:r>
    </w:p>
    <w:p w14:paraId="6B4621C4" w14:textId="576BE1F3" w:rsidR="008D65FD" w:rsidRPr="008D65FD" w:rsidRDefault="008D65FD" w:rsidP="008D65FD">
      <w:pPr>
        <w:rPr>
          <w:rFonts w:cs="Arial"/>
          <w:szCs w:val="18"/>
        </w:rPr>
      </w:pPr>
      <w:r w:rsidRPr="008D65FD">
        <w:rPr>
          <w:rFonts w:cs="Arial"/>
          <w:szCs w:val="18"/>
        </w:rPr>
        <w:t xml:space="preserve">Furthermore, the carbohydrate component of the microalgal biomass may be converted into furfuryl compounds and, </w:t>
      </w:r>
      <w:proofErr w:type="gramStart"/>
      <w:r w:rsidRPr="008D65FD">
        <w:rPr>
          <w:rFonts w:cs="Arial"/>
          <w:szCs w:val="18"/>
        </w:rPr>
        <w:t>in particular in</w:t>
      </w:r>
      <w:proofErr w:type="gramEnd"/>
      <w:r w:rsidRPr="008D65FD">
        <w:rPr>
          <w:rFonts w:cs="Arial"/>
          <w:szCs w:val="18"/>
        </w:rPr>
        <w:t xml:space="preserve"> 5-hydroxyl methyl furfural (5-HMF). This is one of the chemical bio-compound different from petroleum-derived ones with the highest added value and may be obtained through lignocellulosic biomasses or hexoses sugars through acid catalysis. It is defined platform molecule because it is the precursor of several compounds for the chemical industry.</w:t>
      </w:r>
    </w:p>
    <w:p w14:paraId="7C8A41A7" w14:textId="1FD97BF1" w:rsidR="008D65FD" w:rsidRPr="008D65FD" w:rsidRDefault="008D65FD" w:rsidP="008D65FD">
      <w:pPr>
        <w:rPr>
          <w:rFonts w:cs="Arial"/>
          <w:szCs w:val="18"/>
        </w:rPr>
      </w:pPr>
      <w:r w:rsidRPr="008D65FD">
        <w:rPr>
          <w:rFonts w:cs="Arial"/>
          <w:szCs w:val="18"/>
        </w:rPr>
        <w:t xml:space="preserve">In this work, we aimed to optimize a circular bioprocess by performing, </w:t>
      </w:r>
      <w:r w:rsidR="001A0AF6">
        <w:rPr>
          <w:rFonts w:cs="Arial"/>
          <w:szCs w:val="18"/>
        </w:rPr>
        <w:t>starting from the same</w:t>
      </w:r>
      <w:r w:rsidRPr="008D65FD">
        <w:rPr>
          <w:rFonts w:cs="Arial"/>
          <w:szCs w:val="18"/>
        </w:rPr>
        <w:t xml:space="preserve"> biomass, two different processes: the biotransformation of microalgal FFAs through the employment of a genetically modified </w:t>
      </w:r>
      <w:r w:rsidRPr="008D65FD">
        <w:rPr>
          <w:rFonts w:cs="Arial"/>
          <w:i/>
          <w:szCs w:val="18"/>
        </w:rPr>
        <w:t>E. coli</w:t>
      </w:r>
      <w:r w:rsidRPr="008D65FD">
        <w:rPr>
          <w:rFonts w:cs="Arial"/>
          <w:szCs w:val="18"/>
        </w:rPr>
        <w:t xml:space="preserve"> on one side, and the conversion of the remaining biomass in furfuryl products. The first process allowed the production of very interesting lipid derivatives with biotechnological application</w:t>
      </w:r>
      <w:r w:rsidR="001A0AF6">
        <w:rPr>
          <w:rFonts w:cs="Arial"/>
          <w:szCs w:val="18"/>
        </w:rPr>
        <w:t>s</w:t>
      </w:r>
      <w:r w:rsidRPr="008D65FD">
        <w:rPr>
          <w:rFonts w:cs="Arial"/>
          <w:szCs w:val="18"/>
        </w:rPr>
        <w:t xml:space="preserve">, including </w:t>
      </w:r>
      <w:r w:rsidR="001A0AF6">
        <w:rPr>
          <w:rFonts w:cs="Arial"/>
          <w:szCs w:val="18"/>
        </w:rPr>
        <w:t xml:space="preserve">10 </w:t>
      </w:r>
      <w:r w:rsidRPr="008D65FD">
        <w:rPr>
          <w:rFonts w:cs="Arial"/>
          <w:szCs w:val="18"/>
        </w:rPr>
        <w:t>hydroxy-</w:t>
      </w:r>
      <w:r w:rsidR="001A0AF6">
        <w:rPr>
          <w:rFonts w:cs="Arial"/>
          <w:szCs w:val="18"/>
        </w:rPr>
        <w:t>stearic acid</w:t>
      </w:r>
      <w:r w:rsidRPr="008D65FD">
        <w:rPr>
          <w:rFonts w:cs="Arial"/>
          <w:szCs w:val="18"/>
        </w:rPr>
        <w:t xml:space="preserve"> and </w:t>
      </w:r>
      <w:r w:rsidR="001A0AF6">
        <w:rPr>
          <w:rFonts w:cs="Arial"/>
          <w:szCs w:val="18"/>
        </w:rPr>
        <w:t>10-</w:t>
      </w:r>
      <w:r w:rsidRPr="008D65FD">
        <w:rPr>
          <w:rFonts w:cs="Arial"/>
          <w:szCs w:val="18"/>
        </w:rPr>
        <w:t>hydroxy</w:t>
      </w:r>
      <w:r w:rsidR="001A0AF6">
        <w:rPr>
          <w:rFonts w:cs="Arial"/>
          <w:szCs w:val="18"/>
        </w:rPr>
        <w:t>-octadecenoic acid</w:t>
      </w:r>
      <w:r w:rsidRPr="008D65FD">
        <w:rPr>
          <w:rFonts w:cs="Arial"/>
          <w:szCs w:val="18"/>
        </w:rPr>
        <w:t xml:space="preserve">. The second process was obtained through heterogeneous catalysis based on niobium phosphate. </w:t>
      </w:r>
    </w:p>
    <w:p w14:paraId="5F05A1C5" w14:textId="77777777" w:rsidR="008D65FD" w:rsidRPr="008D65FD" w:rsidRDefault="008D65FD" w:rsidP="008D65FD">
      <w:pPr>
        <w:rPr>
          <w:rFonts w:cs="Arial"/>
          <w:color w:val="000000"/>
          <w:szCs w:val="18"/>
          <w:lang w:eastAsia="de-DE"/>
        </w:rPr>
      </w:pPr>
      <w:r w:rsidRPr="008D65FD">
        <w:rPr>
          <w:rFonts w:cs="Arial"/>
          <w:szCs w:val="18"/>
        </w:rPr>
        <w:t>This procedure represents a high-innovative application of microalgal biomass and allows the simultaneous exploitation of FAs and carbohydrates. This may result in an increase in the commercial value of microalgal biomass.</w:t>
      </w:r>
    </w:p>
    <w:p w14:paraId="476B2F2E" w14:textId="77777777" w:rsidR="00600535" w:rsidRPr="00B57B36" w:rsidRDefault="00600535" w:rsidP="00600535">
      <w:pPr>
        <w:pStyle w:val="CETHeading1"/>
        <w:rPr>
          <w:lang w:val="en-GB"/>
        </w:rPr>
      </w:pPr>
      <w:r w:rsidRPr="00B57B36">
        <w:rPr>
          <w:lang w:val="en-GB"/>
        </w:rPr>
        <w:t>Introduction</w:t>
      </w:r>
    </w:p>
    <w:p w14:paraId="3C52E889" w14:textId="77777777" w:rsidR="00E02658" w:rsidRDefault="00C3472D" w:rsidP="00F0290B">
      <w:pPr>
        <w:pStyle w:val="CETBodytext"/>
      </w:pPr>
      <w:r>
        <w:t>Microalgae are an interesting biomass due to several reasons such as their ability to growth in not-arable lands, in wastewaters or seawaters</w:t>
      </w:r>
      <w:r w:rsidR="00EB6F7C">
        <w:t xml:space="preserve"> </w:t>
      </w:r>
      <w:r w:rsidR="00EB6F7C">
        <w:fldChar w:fldCharType="begin" w:fldLock="1"/>
      </w:r>
      <w:r w:rsidR="001A0A22">
        <w:instrText>ADDIN CSL_CITATION {"citationItems":[{"id":"ITEM-1","itemData":{"DOI":"10.3303/CET1974208","ISBN":"978-88-95608-71-6","ISSN":"2283-9216","abstract":"Microalgae are microorganisms able to photosynthesize, namely transforming inorganic substrates and sun light into organic compounds and chemical energy. The industry of microalgae has expanded in the last decades and several applications are now developed, making their biomass interesting under an economic perspective. Nannochlopsis gaditana is one of the most interesting species already employed in industry because of its high content in lipids that could be employed as source for biodiesel synthesis but also in other fields such as cosmetic and pharmaceutic. One of the most promising application is the exploitation of microalgal grow for bioremediating wastewaters polluted with inorganic nutrients such as nitrates and phosphates that microalgae are able to employ as nutrients. Bio-treatment of wastewaters by using microalgae has the advantage to reclassify the water and preserve it from wasting while producing a valuable biomass. In this work, a microalgal strain, Nannochloropsis gaditana, was employed for testing its performance in the bioremediation of municipal sewages. The wastewater was taken from a municipal plant, after the primary treatment, and the algae processing was aimed at replacing the secondary treatment. Algal growth in its growth medium and in the sewage was compared and algal biomass was characterized. Biochemical Oxygen Demand (BOD), Chemical Oxygen Demand (COD), total nitrogen and total phosphorous levels of the sewage before and after algae treatment were also determined in order to evaluate the efficiency of this microalgal strain on wastewater bioremediation. Our results showed that N. gaditana grows better in wastewater than in the control growth medium and it is able to efficiently remove nutrients from the sewage. However, COD and BOD values did not decrease after algal treatment. These results suggest that the use of selected bacteria and/or yeast strains (together with microalgae) could improve the efficiency of wastewater treatments decreasing BOD and COD values.","author":[{"dropping-particle":"","family":"Lima","given":"Serena","non-dropping-particle":"","parse-names":false,"suffix":""},{"dropping-particle":"","family":"Villanova","given":"Valeria","non-dropping-particle":"","parse-names":false,"suffix":""},{"dropping-particle":"","family":"Richiusa","given":"Monica","non-dropping-particle":"","parse-names":false,"suffix":""},{"dropping-particle":"","family":"Grisafi","given":"Franco","non-dropping-particle":"","parse-names":false,"suffix":""},{"dropping-particle":"","family":"Scargiali","given":"Francesca","non-dropping-particle":"","parse-names":false,"suffix":""},{"dropping-particle":"","family":"Brucato","given":"Alberto","non-dropping-particle":"","parse-names":false,"suffix":""}],"container-title":"CHEMICAL ENGINEERING TRANSACTIONS","id":"ITEM-1","issued":{"date-parts":[["2019"]]},"page":"1243-1248","title":"Pollutants Removal from Municipal Sewage by Means of Microalgae","type":"article-journal","volume":"74"},"uris":["http://www.mendeley.com/documents/?uuid=30a63f5c-d033-31d1-bbf1-5e6283b8562f"]}],"mendeley":{"formattedCitation":"(Lima et al., 2019)","plainTextFormattedCitation":"(Lima et al., 2019)","previouslyFormattedCitation":"(Lima et al., 2019)"},"properties":{"noteIndex":0},"schema":"https://github.com/citation-style-language/schema/raw/master/csl-citation.json"}</w:instrText>
      </w:r>
      <w:r w:rsidR="00EB6F7C">
        <w:fldChar w:fldCharType="separate"/>
      </w:r>
      <w:r w:rsidR="00EB6F7C" w:rsidRPr="00EB6F7C">
        <w:rPr>
          <w:noProof/>
        </w:rPr>
        <w:t>(Lima et al., 2019)</w:t>
      </w:r>
      <w:r w:rsidR="00EB6F7C">
        <w:fldChar w:fldCharType="end"/>
      </w:r>
      <w:r>
        <w:t>, and their ability to photosynthesize, namely converting the solar radiation in energy and organic carbon starting from inorganic carbon sources such as atmospheric CO</w:t>
      </w:r>
      <w:r w:rsidRPr="00C3472D">
        <w:rPr>
          <w:vertAlign w:val="subscript"/>
        </w:rPr>
        <w:t>2</w:t>
      </w:r>
      <w:r>
        <w:t xml:space="preserve">. There are </w:t>
      </w:r>
      <w:r w:rsidR="007D370A">
        <w:t>different</w:t>
      </w:r>
      <w:r>
        <w:t xml:space="preserve"> species of microalgae and several of them find application in various industrial sectors due to the high-value compounds that they produce, especially if triggered by stressors </w:t>
      </w:r>
      <w:r>
        <w:fldChar w:fldCharType="begin" w:fldLock="1"/>
      </w:r>
      <w:r w:rsidR="00EB6F7C">
        <w:instrText>ADDIN CSL_CITATION {"citationItems":[{"id":"ITEM-1","itemData":{"DOI":"10.1016/j.algal.2021.102430","ISSN":"22119264","abstract":"In the last years, the possibility to exploit autochthone microalgae in regional applications has been explored. The regional-based microalgal industry may bring several benefits, as autochthone microalgae are already adapted to the biotic and abiotic stresses of their environment. In this work, this concept was applied to Sicily, in which three microalgal strains were collected from the coastline. Monoalgal strains were then isolated and molecular characterization was performed for the species determination. Three of them, two strains of Chlorella and one of Dunaliella, were cultivated in lab-scale in four different conditions: Low Temperature-Low Salt (LT-LS), High-Temperature-Low Salt (HT-LS), Low Temperature-High Salt (LT-HS) and High Temperature-High Salt (HT-HS) to investigate the role of each condition on the growth performance, the productivity and the biochemical composition of the microalgal biomass. In particular, lipid, fatty acid composition and antioxidant capacity were assessed. Results indicated that one of the Sicilian strains of Chlorella has a better growth performance at a higher temperature while the Dunaliella strain is tolerant to high-salt stress. Moreover, the biochemical composition appears to be strongly influenced by temperature and salt stresses: the lipid content decreased in all the strains and a significant shift in fatty acid composition was observed, with an increase in the content of n-3 PUFAs in some cases. Results indicated that also the carotenoids content decreased in some of the tested stress conditions. The results obtained in this research represent a first step for developing a regional-based microalgal industry in Sicily by exploiting the natural biodiversity of the Sicilian environment.","author":[{"dropping-particle":"","family":"Arena","given":"Rosaria","non-dropping-particle":"","parse-names":false,"suffix":""},{"dropping-particle":"","family":"Lima","given":"Serena","non-dropping-particle":"","parse-names":false,"suffix":""},{"dropping-particle":"","family":"Villanova","given":"Valeria","non-dropping-particle":"","parse-names":false,"suffix":""},{"dropping-particle":"","family":"Moukri","given":"Nadia","non-dropping-particle":"","parse-names":false,"suffix":""},{"dropping-particle":"","family":"Curcuraci","given":"Eleonora","non-dropping-particle":"","parse-names":false,"suffix":""},{"dropping-particle":"","family":"Messina","given":"Concetta","non-dropping-particle":"","parse-names":false,"suffix":""},{"dropping-particle":"","family":"Santulli","given":"Andrea","non-dropping-particle":"","parse-names":false,"suffix":""},{"dropping-particle":"","family":"Scargiali","given":"Francesca","non-dropping-particle":"","parse-names":false,"suffix":""}],"container-title":"Algal Research","id":"ITEM-1","issue":"March","issued":{"date-parts":[["2021"]]},"page":"102430","publisher":"Elsevier B.V.","title":"Cultivation and biochemical characterization of isolated Sicilian microalgal species in salt and temperature stress conditions","type":"article-journal","volume":"59"},"uris":["http://www.mendeley.com/documents/?uuid=866124cb-cca7-47d4-a70c-eea377b7ed4e"]}],"mendeley":{"formattedCitation":"(Arena et al., 2021)","plainTextFormattedCitation":"(Arena et al., 2021)","previouslyFormattedCitation":"(Arena et al., 2021)"},"properties":{"noteIndex":0},"schema":"https://github.com/citation-style-language/schema/raw/master/csl-citation.json"}</w:instrText>
      </w:r>
      <w:r>
        <w:fldChar w:fldCharType="separate"/>
      </w:r>
      <w:r w:rsidRPr="00C3472D">
        <w:rPr>
          <w:noProof/>
        </w:rPr>
        <w:t>(Arena et al., 2021)</w:t>
      </w:r>
      <w:r>
        <w:fldChar w:fldCharType="end"/>
      </w:r>
      <w:r>
        <w:t xml:space="preserve">. Although several benefit, microalgal cultivation may be </w:t>
      </w:r>
      <w:r w:rsidR="00EB6F7C">
        <w:t xml:space="preserve">economically </w:t>
      </w:r>
      <w:r w:rsidR="007D370A">
        <w:t>not convenient</w:t>
      </w:r>
      <w:r w:rsidR="00EB6F7C">
        <w:t xml:space="preserve">; for this reason, in the last years attempts to make algal cultivation more sustainable were made. </w:t>
      </w:r>
      <w:proofErr w:type="gramStart"/>
      <w:r w:rsidR="00EB6F7C">
        <w:t>In particular, microalgal</w:t>
      </w:r>
      <w:proofErr w:type="gramEnd"/>
      <w:r w:rsidR="00EB6F7C">
        <w:t xml:space="preserve"> biomass may be considered as a potential source of several products, in an integrated biorefinery view. In this approach, several streams of the biomass are exploited for the parallel production of </w:t>
      </w:r>
      <w:r w:rsidR="00E02658">
        <w:t>numerous</w:t>
      </w:r>
      <w:r w:rsidR="00EB6F7C">
        <w:t xml:space="preserve"> products. Examples of biorefinery processes may involve biomass </w:t>
      </w:r>
      <w:r w:rsidR="00CD40E9">
        <w:t xml:space="preserve">previously </w:t>
      </w:r>
      <w:r w:rsidR="00EB6F7C">
        <w:t xml:space="preserve">employed </w:t>
      </w:r>
      <w:r w:rsidR="00CD40E9">
        <w:t>in</w:t>
      </w:r>
      <w:r w:rsidR="00EB6F7C">
        <w:t xml:space="preserve"> the treatment of sewage wastewaters or </w:t>
      </w:r>
      <w:r w:rsidR="00CD40E9">
        <w:t xml:space="preserve">biomass </w:t>
      </w:r>
      <w:r w:rsidR="00EB6F7C">
        <w:lastRenderedPageBreak/>
        <w:t>residual of high-value products extraction</w:t>
      </w:r>
      <w:r w:rsidR="00CD40E9">
        <w:t xml:space="preserve">. In this sense, </w:t>
      </w:r>
      <w:r w:rsidR="00E02658" w:rsidRPr="00E02658">
        <w:t>the goal is the use of waste to obtain value-added products.</w:t>
      </w:r>
    </w:p>
    <w:p w14:paraId="3364BF95" w14:textId="7E587CDF" w:rsidR="00E75D47" w:rsidRDefault="00E75D47" w:rsidP="00F0290B">
      <w:pPr>
        <w:pStyle w:val="CETBodytext"/>
      </w:pPr>
      <w:r>
        <w:t xml:space="preserve">In this work we exploited two </w:t>
      </w:r>
      <w:r w:rsidR="00E02658">
        <w:t>streams deriving from the treatment of the microalgal biomass</w:t>
      </w:r>
      <w:r>
        <w:t xml:space="preserve">: the oil </w:t>
      </w:r>
      <w:r w:rsidR="00E02658">
        <w:t xml:space="preserve">fraction </w:t>
      </w:r>
      <w:r>
        <w:t>and the carbohydrate</w:t>
      </w:r>
      <w:r w:rsidR="00E02658">
        <w:t>s</w:t>
      </w:r>
      <w:r>
        <w:t xml:space="preserve"> one.</w:t>
      </w:r>
      <w:r w:rsidR="00E02658">
        <w:t xml:space="preserve"> </w:t>
      </w:r>
      <w:r w:rsidR="00E02658" w:rsidRPr="00E02658">
        <w:t>The oil fraction was obtained after ball milling of microalgae and solvent extraction. The remaining biomass of the process was constituted by cellular debris containing the carbohydrate fraction.</w:t>
      </w:r>
    </w:p>
    <w:p w14:paraId="21B4796C" w14:textId="72D69821" w:rsidR="00E75D47" w:rsidRDefault="00E75D47" w:rsidP="00476C5D">
      <w:pPr>
        <w:pStyle w:val="CETBodytext"/>
      </w:pPr>
      <w:r>
        <w:t xml:space="preserve">The oil fraction of microalgae is generally studied for its </w:t>
      </w:r>
      <w:r w:rsidR="00E02658">
        <w:t>use</w:t>
      </w:r>
      <w:r>
        <w:t xml:space="preserve"> as biodiesel. This application is more appealing if microalga</w:t>
      </w:r>
      <w:r w:rsidR="007D370A">
        <w:t>l oil</w:t>
      </w:r>
      <w:r>
        <w:t xml:space="preserve"> </w:t>
      </w:r>
      <w:r w:rsidR="007D370A">
        <w:t>is</w:t>
      </w:r>
      <w:r>
        <w:t xml:space="preserve"> mainly composed by saturated FAs, and in general biodiesel is not considered an</w:t>
      </w:r>
      <w:r w:rsidR="00E02658">
        <w:t xml:space="preserve"> added-value</w:t>
      </w:r>
      <w:r>
        <w:t xml:space="preserve"> product which may make sustainable </w:t>
      </w:r>
      <w:r w:rsidR="007D370A">
        <w:t xml:space="preserve">algal </w:t>
      </w:r>
      <w:r>
        <w:t xml:space="preserve">production </w:t>
      </w:r>
      <w:r w:rsidR="007D370A">
        <w:t>at high-scale</w:t>
      </w:r>
      <w:r>
        <w:t xml:space="preserve">. In this work, we propose to employ </w:t>
      </w:r>
      <w:r w:rsidR="007D370A">
        <w:t>microalgal oil fraction</w:t>
      </w:r>
      <w:r>
        <w:t xml:space="preserve"> for an enzymatic whole cell </w:t>
      </w:r>
      <w:proofErr w:type="spellStart"/>
      <w:r>
        <w:t>biocatalysis</w:t>
      </w:r>
      <w:proofErr w:type="spellEnd"/>
      <w:r>
        <w:t xml:space="preserve"> performed by </w:t>
      </w:r>
      <w:r w:rsidR="00EA7419" w:rsidRPr="00E75D47">
        <w:t xml:space="preserve">enzyme </w:t>
      </w:r>
      <w:r w:rsidR="00EA7419">
        <w:t xml:space="preserve">of the </w:t>
      </w:r>
      <w:r w:rsidRPr="00E75D47">
        <w:t xml:space="preserve">hydratase family to produce hydroxy fatty acids </w:t>
      </w:r>
      <w:r w:rsidR="00EA7419">
        <w:t>using oleic and linoleic acid as substrates</w:t>
      </w:r>
      <w:r w:rsidRPr="00E75D47">
        <w:t>. These enzymes introduce a water molecule to the double bond present in the OA</w:t>
      </w:r>
      <w:r w:rsidR="007D370A">
        <w:t xml:space="preserve"> and </w:t>
      </w:r>
      <w:r w:rsidRPr="00E75D47">
        <w:t xml:space="preserve">LA, producing </w:t>
      </w:r>
      <w:r w:rsidR="00EA7419">
        <w:t xml:space="preserve">this interesting molecule which may be employed </w:t>
      </w:r>
      <w:r w:rsidR="00551AC5">
        <w:t xml:space="preserve">for the production of </w:t>
      </w:r>
      <w:r w:rsidR="005F49A2">
        <w:t xml:space="preserve">aliphatic polyesters, biodegradable </w:t>
      </w:r>
      <w:r w:rsidR="00551AC5">
        <w:t xml:space="preserve">biopolymers </w:t>
      </w:r>
      <w:r w:rsidR="001A0A22">
        <w:fldChar w:fldCharType="begin" w:fldLock="1"/>
      </w:r>
      <w:r w:rsidR="00932BE5">
        <w:instrText>ADDIN CSL_CITATION {"citationItems":[{"id":"ITEM-1","itemData":{"DOI":"10.1016/j.enzmictec.2022.110164","ISSN":"18790909","PMID":"36455467","abstract":"The development of biorefinery approaches is of great relevance for the sustainable production of valuable compounds. In accordance with circular economy principles, waste cooking oils (WCOs) are renewable resources and biorefinery feedstocks, which contribute to a reduced impact on the environment. Frequently, this waste is wrongly disposed of into municipal sewage systems, thereby creating problems for the environment and increasing treatment costs in wastewater treatment plants. In this study, regenerated WCOs, which were intended for the production of biofuels, were transformed through a chemo-enzymatic approach to produce hydroxy fatty acids, which were further used in polycondensation reaction for polyester production. Escherichia coli whole cell biocatalyst containing the recombinantly produced Elizabethkingia meningoseptica Oleate hydratase (Em_OhyA) was used for the biocatalytic hydration of crude WCOs-derived unsaturated free fatty acids for the production of hydroxy fatty acids. Further hydrogenation reaction and methylation of the crude mixture allowed the production of (R)− 10-hydroxystearic acid methyl ester that was further purified with a high purity (&gt; 90%), at gram scale. The purified (R)− 10-hydroxystearic acid methyl ester was polymerized through a polycondensation reaction to produce the corresponding polyester. This work highlights the potential of waste products to obtain bio-based hydroxy fatty acids and polyesters through a biorefinery approach.","author":[{"dropping-particle":"","family":"Biundo","given":"Antonino","non-dropping-particle":"","parse-names":false,"suffix":""},{"dropping-particle":"","family":"Stamm","given":"Arne","non-dropping-particle":"","parse-names":false,"suffix":""},{"dropping-particle":"","family":"Gorgoglione","given":"Ruggiero","non-dropping-particle":"","parse-names":false,"suffix":""},{"dropping-particle":"","family":"Syrén","given":"Per Olof","non-dropping-particle":"","parse-names":false,"suffix":""},{"dropping-particle":"","family":"Curia","given":"Silvio","non-dropping-particle":"","parse-names":false,"suffix":""},{"dropping-particle":"","family":"Hauer","given":"Bernhard","non-dropping-particle":"","parse-names":false,"suffix":""},{"dropping-particle":"","family":"Capriati","given":"Vito","non-dropping-particle":"","parse-names":false,"suffix":""},{"dropping-particle":"","family":"Vitale","given":"Paola","non-dropping-particle":"","parse-names":false,"suffix":""},{"dropping-particle":"","family":"Perna","given":"Filippo","non-dropping-particle":"","parse-names":false,"suffix":""},{"dropping-particle":"","family":"Agrimi","given":"Gennaro","non-dropping-particle":"","parse-names":false,"suffix":""},{"dropping-particle":"","family":"Pisano","given":"Isabella","non-dropping-particle":"","parse-names":false,"suffix":""}],"container-title":"Enzyme and Microbial Technology","id":"ITEM-1","issue":"October 2022","issued":{"date-parts":[["2023"]]},"title":"Regio- and stereoselective biocatalytic hydration of fatty acids from waste cooking oils en route to hydroxy fatty acids and bio-based polyesters","type":"article-journal","volume":"163"},"uris":["http://www.mendeley.com/documents/?uuid=6197618c-1fb3-41da-9170-8919ca4f2f61"]}],"mendeley":{"formattedCitation":"(Biundo et al., 2023)","plainTextFormattedCitation":"(Biundo et al., 2023)","previouslyFormattedCitation":"(Biundo et al., 2023)"},"properties":{"noteIndex":0},"schema":"https://github.com/citation-style-language/schema/raw/master/csl-citation.json"}</w:instrText>
      </w:r>
      <w:r w:rsidR="001A0A22">
        <w:fldChar w:fldCharType="separate"/>
      </w:r>
      <w:r w:rsidR="001A0A22" w:rsidRPr="001A0A22">
        <w:rPr>
          <w:noProof/>
        </w:rPr>
        <w:t>(Biundo et al., 2023)</w:t>
      </w:r>
      <w:r w:rsidR="001A0A22">
        <w:fldChar w:fldCharType="end"/>
      </w:r>
      <w:r w:rsidR="001A0A22">
        <w:t>.</w:t>
      </w:r>
      <w:r w:rsidR="00476C5D">
        <w:t xml:space="preserve"> </w:t>
      </w:r>
      <w:proofErr w:type="gramStart"/>
      <w:r w:rsidR="00476C5D">
        <w:t>In particular, in</w:t>
      </w:r>
      <w:proofErr w:type="gramEnd"/>
      <w:r w:rsidR="00476C5D">
        <w:t xml:space="preserve"> this work the </w:t>
      </w:r>
      <w:r w:rsidR="00476C5D">
        <w:t>enzyme oleate hydratase</w:t>
      </w:r>
      <w:r w:rsidR="00476C5D">
        <w:t xml:space="preserve"> from</w:t>
      </w:r>
      <w:r w:rsidR="00476C5D" w:rsidRPr="00476C5D">
        <w:t xml:space="preserve"> </w:t>
      </w:r>
      <w:proofErr w:type="spellStart"/>
      <w:r w:rsidR="00476C5D" w:rsidRPr="00476C5D">
        <w:rPr>
          <w:i/>
          <w:iCs/>
        </w:rPr>
        <w:t>Elizabethkingia</w:t>
      </w:r>
      <w:proofErr w:type="spellEnd"/>
      <w:r w:rsidR="00476C5D" w:rsidRPr="00476C5D">
        <w:rPr>
          <w:i/>
          <w:iCs/>
        </w:rPr>
        <w:t xml:space="preserve"> </w:t>
      </w:r>
      <w:proofErr w:type="spellStart"/>
      <w:r w:rsidR="00476C5D" w:rsidRPr="00476C5D">
        <w:rPr>
          <w:i/>
          <w:iCs/>
        </w:rPr>
        <w:t>meningoseptica</w:t>
      </w:r>
      <w:proofErr w:type="spellEnd"/>
      <w:r w:rsidR="00476C5D">
        <w:t xml:space="preserve"> </w:t>
      </w:r>
      <w:r w:rsidR="00476C5D">
        <w:t>(</w:t>
      </w:r>
      <w:proofErr w:type="spellStart"/>
      <w:r w:rsidR="00476C5D">
        <w:t>Em_OhyA</w:t>
      </w:r>
      <w:proofErr w:type="spellEnd"/>
      <w:r w:rsidR="00476C5D">
        <w:t>)</w:t>
      </w:r>
      <w:r w:rsidR="00476C5D">
        <w:t xml:space="preserve"> was used.</w:t>
      </w:r>
    </w:p>
    <w:p w14:paraId="5016EC0E" w14:textId="649D0206" w:rsidR="00F0290B" w:rsidRDefault="00770249" w:rsidP="0026003F">
      <w:pPr>
        <w:pStyle w:val="CETBodytext"/>
      </w:pPr>
      <w:r>
        <w:t>From the debris of this process, it is possible to obtain other products</w:t>
      </w:r>
      <w:r w:rsidR="007D370A">
        <w:t xml:space="preserve"> through </w:t>
      </w:r>
      <w:r>
        <w:t xml:space="preserve">a different process. </w:t>
      </w:r>
      <w:r w:rsidR="0026003F">
        <w:t>Indeed, t</w:t>
      </w:r>
      <w:r>
        <w:t xml:space="preserve">he cellular debris are rich in carbohydrate polymers. These may be hydrolyzed in simple sugars by acidic catalysis and subsequently transformed in </w:t>
      </w:r>
      <w:proofErr w:type="spellStart"/>
      <w:r>
        <w:t>furfurilic</w:t>
      </w:r>
      <w:proofErr w:type="spellEnd"/>
      <w:r>
        <w:t xml:space="preserve"> compounds by an isomerization followed by a dehydration step. In particular, the cellular matrix releases glucose which isomerizes in fructose, which in turn is dehydrated in 5-HMF. </w:t>
      </w:r>
      <w:r w:rsidR="0020177A">
        <w:t>5-HMF is a bio-based product which has been defined “sleeping giant” of the chemical industry</w:t>
      </w:r>
      <w:r w:rsidR="007D370A">
        <w:t xml:space="preserve"> </w:t>
      </w:r>
      <w:r w:rsidR="007D370A">
        <w:fldChar w:fldCharType="begin" w:fldLock="1"/>
      </w:r>
      <w:r w:rsidR="007D370A">
        <w:instrText>ADDIN CSL_CITATION {"citationItems":[{"id":"ITEM-1","itemData":{"DOI":"10.1016/j.apcata.2010.06.049","ISSN":"0926860X","abstract":"Recently, the production of furan derivatives from sugars has become exciting in chemistry and in catalysis studies, because it aids one of the major routes for achieving sustainable energy supply and chemicals production. 5-Hydroxymethylfurfural (5-HMF), 2,5-furan-dicarboxylic acid (2,5-FDCA) and 2,5-dimethylfuran (2,5-DMF) have been called the \"sleeping giants\" of renewable intermediate chemicals. 5-HMF is a dehydration product of hexoses and a potential substitute of petroleum-based building blocks of various polymers. 2,5-FDCA is derived from oxidative dehydration of hexoses and is considered as one of the top 12 compounds made from a sugar into a value-added chemical [T. Werpy, G. Petersen, Top Value Added Chemicals From Biomass, 2004. Available electronically at http://www.osti.gov/bridge]. 2,5-DMF is produced through hydrogenation of HMF and is less volatile and of 40% higher energy density than ethanol. This review discusses mainly the catalytic routes for the synthesis of 5-HMF, 2,5-FDCA, 2,5-DMF and other furanic derivatives from sugars. Meanwhile, the possible reaction mechanism for the conversion of hexoses is discussed, and furthermore, some promising research orientations and advantageous catalysts are suggested based on the major problems encountered in the recent research. © 2010 Elsevier B.V. All rights reserved.","author":[{"dropping-particle":"","family":"Tong","given":"Xinli","non-dropping-particle":"","parse-names":false,"suffix":""},{"dropping-particle":"","family":"Ma","given":"Yang","non-dropping-particle":"","parse-names":false,"suffix":""},{"dropping-particle":"","family":"Li","given":"Yongdan","non-dropping-particle":"","parse-names":false,"suffix":""}],"container-title":"Applied Catalysis A: General","id":"ITEM-1","issue":"1-2","issued":{"date-parts":[["2010","9","15"]]},"page":"1-13","publisher":"Elsevier B.V.","title":"Biomass into chemicals: Conversion of sugars to furan derivatives by catalytic processes","type":"article-journal","volume":"385"},"uris":["http://www.mendeley.com/documents/?uuid=c3b7eab2-8ba6-41d3-aaf9-574fcdec7618"]}],"mendeley":{"formattedCitation":"(Tong et al., 2010)","plainTextFormattedCitation":"(Tong et al., 2010)"},"properties":{"noteIndex":0},"schema":"https://github.com/citation-style-language/schema/raw/master/csl-citation.json"}</w:instrText>
      </w:r>
      <w:r w:rsidR="007D370A">
        <w:fldChar w:fldCharType="separate"/>
      </w:r>
      <w:r w:rsidR="007D370A" w:rsidRPr="007D370A">
        <w:rPr>
          <w:noProof/>
        </w:rPr>
        <w:t>(Tong et al., 2010)</w:t>
      </w:r>
      <w:r w:rsidR="007D370A">
        <w:fldChar w:fldCharType="end"/>
      </w:r>
      <w:r w:rsidR="0020177A">
        <w:t>, because it is involved in several processes and may be precursor for</w:t>
      </w:r>
      <w:r w:rsidR="0020177A" w:rsidRPr="00FD35E7">
        <w:t xml:space="preserve"> polymers, pharmaceuticals, agrochemicals, </w:t>
      </w:r>
      <w:proofErr w:type="spellStart"/>
      <w:r w:rsidR="0020177A" w:rsidRPr="00FD35E7">
        <w:t>flavours</w:t>
      </w:r>
      <w:proofErr w:type="spellEnd"/>
      <w:r w:rsidR="0020177A" w:rsidRPr="00FD35E7">
        <w:t xml:space="preserve"> </w:t>
      </w:r>
      <w:r w:rsidR="0020177A">
        <w:t>and</w:t>
      </w:r>
      <w:r w:rsidR="0020177A" w:rsidRPr="00FD35E7">
        <w:t xml:space="preserve"> fuel components</w:t>
      </w:r>
      <w:r w:rsidR="007D370A">
        <w:t>.</w:t>
      </w:r>
      <w:r w:rsidR="0020177A" w:rsidRPr="00FD35E7">
        <w:t xml:space="preserve"> </w:t>
      </w:r>
      <w:r>
        <w:t xml:space="preserve">The described reaction is catalyzed by </w:t>
      </w:r>
      <w:r w:rsidR="007D370A">
        <w:t xml:space="preserve">homogeneous </w:t>
      </w:r>
      <w:r>
        <w:t xml:space="preserve">acidic catalysis, but in this work a solid catalyst was employed. Solid catalysts have several advantages compared to homogeneous mineral acids, which are toxic and highly polluting. A very effective solid acidic catalyst is niobium phosphate, which presents a very high acidity. </w:t>
      </w:r>
      <w:r w:rsidR="00F0290B">
        <w:t>Niobium</w:t>
      </w:r>
      <w:r w:rsidR="00F0290B" w:rsidRPr="008D65FD">
        <w:t xml:space="preserve"> catalyst</w:t>
      </w:r>
      <w:r w:rsidR="00F0290B">
        <w:t>s</w:t>
      </w:r>
      <w:r w:rsidR="00F0290B" w:rsidRPr="008D65FD">
        <w:t xml:space="preserve"> </w:t>
      </w:r>
      <w:r w:rsidR="007D370A">
        <w:t>were</w:t>
      </w:r>
      <w:r w:rsidR="00F0290B" w:rsidRPr="008D65FD">
        <w:t xml:space="preserve"> already shown to be effective in converting fructose in</w:t>
      </w:r>
      <w:r w:rsidR="00F0290B">
        <w:t>to</w:t>
      </w:r>
      <w:r w:rsidR="00F0290B" w:rsidRPr="008D65FD">
        <w:t xml:space="preserve"> 5-HMF </w:t>
      </w:r>
      <w:r w:rsidR="00F0290B" w:rsidRPr="008D65FD">
        <w:rPr>
          <w:lang w:val="it-IT"/>
        </w:rPr>
        <w:fldChar w:fldCharType="begin" w:fldLock="1"/>
      </w:r>
      <w:r w:rsidR="00F0290B">
        <w:instrText>ADDIN CSL_CITATION {"citationItems":[{"id":"ITEM-1","itemData":{"DOI":"10.3390/nano11071821","ISSN":"20794991","abstract":"The catalytic dehydration of fructose to 5-hydroxymethylfurfural (HMF) in water was performed in the presence of pristine Nb2O5 and composites containing Nb and Ti, Ce or Zr oxides. In all experiments, fructose was converted to HMF using water as the solvent. The catalysts were characterized by powder X-ray diffraction, scanning electron microscopy, N2 physical adsorption, infrared and Raman spectroscopy and temperature-programmed desorption of NH3. Experimental parameters such as fructose initial concentration, volume of the reacting suspension, operation temperature, reaction time and amount of catalyst were tuned in order to optimize the catalytic reaction process. The highest selectivity to HMF was ca. 80% in the presence of 0.5 g·L−1 of bare Nb2O5, Nb2O5-TiO2 or Nb2O5-CeO2 with a maximum fructose conversion of ca. 70%. However, the best compromise between high conversion and high selectivity was reached by using 1 g·L−1 of pristine Nb2O5. Indeed, the best result was obtained in the presence of Nb2O5, with a fructose conversion of 76% and a selectivity to HMF of 75%, corresponding to the highest HMF yield (57%). This result was obtained at a temperature of 165° in an autoclave after three hours of reaction by using 6 mL of 1 M fructose suspension with a catalyst amount equal to 1 g·L−1.","author":[{"dropping-particle":"","family":"García-López","given":"Elisa I.","non-dropping-particle":"","parse-names":false,"suffix":""},{"dropping-particle":"","family":"Pomilla","given":"Francesca Rita","non-dropping-particle":"","parse-names":false,"suffix":""},{"dropping-particle":"","family":"Megna","given":"Bartolomeo","non-dropping-particle":"","parse-names":false,"suffix":""},{"dropping-particle":"","family":"Testa","given":"Maria Luisa","non-dropping-particle":"","parse-names":false,"suffix":""},{"dropping-particle":"","family":"Liotta","given":"Leonarda Francesca","non-dropping-particle":"","parse-names":false,"suffix":""},{"dropping-particle":"","family":"Marcì","given":"Giuseppe","non-dropping-particle":"","parse-names":false,"suffix":""}],"container-title":"Nanomaterials","id":"ITEM-1","issue":"7","issued":{"date-parts":[["2021","7","1"]]},"publisher":"MDPI AG","title":"Catalytic dehydration of fructose to 5-hydroxymethylfurfural in aqueous medium over nb2o5-based catalysts","type":"article-journal","volume":"11"},"uris":["http://www.mendeley.com/documents/?uuid=c79db44a-71fe-3670-a67c-162422cef23d"]}],"mendeley":{"formattedCitation":"(García-López et al., 2021)","plainTextFormattedCitation":"(García-López et al., 2021)","previouslyFormattedCitation":"(García-López et al., 2021)"},"properties":{"noteIndex":0},"schema":"https://github.com/citation-style-language/schema/raw/master/csl-citation.json"}</w:instrText>
      </w:r>
      <w:r w:rsidR="00F0290B" w:rsidRPr="008D65FD">
        <w:rPr>
          <w:lang w:val="it-IT"/>
        </w:rPr>
        <w:fldChar w:fldCharType="separate"/>
      </w:r>
      <w:r w:rsidR="00F0290B" w:rsidRPr="00C64885">
        <w:rPr>
          <w:noProof/>
        </w:rPr>
        <w:t>(García-López et al., 2021)</w:t>
      </w:r>
      <w:r w:rsidR="00F0290B" w:rsidRPr="008D65FD">
        <w:fldChar w:fldCharType="end"/>
      </w:r>
      <w:r w:rsidR="00932BE5">
        <w:t xml:space="preserve">, while microalgae have been previously converted into 5-HMF </w:t>
      </w:r>
      <w:r w:rsidR="00932BE5">
        <w:fldChar w:fldCharType="begin" w:fldLock="1"/>
      </w:r>
      <w:r w:rsidR="007D370A">
        <w:instrText>ADDIN CSL_CITATION {"citationItems":[{"id":"ITEM-1","itemData":{"DOI":"10.1016/j.jenvman.2021.112919","ISSN":"10958630","PMID":"34089958","abstract":"Microalgae are known as renewable, potential, and sustainable feedstocks for biofuel production. The present work investigated the efficient valorization of green microalgae Chlorella sp. to produce sugars and 5-hydroxymethylfurfural (5-HMF) using thermochemical conversion with a metal-salt (ferric sulfate) as catalyst using a statistical approach and two-step conversion. A statistical approach with a Box–Behnken design was introduced to optimize the conversion for producing sugars. As a result of optimization, 86.46% sugar yield (68.32% glucose yield) was achieved under the condition of 5% biomass and 0.6 g-catalyst/g-biomass at 155 °C and 40 min. Two-step thermochemical conversion was introduced to produce 5-HMF from microalgae. In the first step, sugars were produced from the above optimum condition; in the second step, sugar hydrolysates were converted into 5-HMF by thermochemical conversion without an additional catalyst. In two-step conversion, the maximum 5-HMF yield (37.23%) was achieved at 170 °C and 60 min from the sugar hydrolysate of microalgae obtained from the first-step thermochemical conversion with ferric sulfate. In conclusion, the microalgae as biomass and ferric sulfate as catalyst have availability and the potential to produce biosugars and platform chemicals.","author":[{"dropping-particle":"","family":"Jeong","given":"Gwi Taek","non-dropping-particle":"","parse-names":false,"suffix":""}],"container-title":"Journal of Environmental Management","id":"ITEM-1","issue":"May","issued":{"date-parts":[["2021"]]},"page":"112919","publisher":"Elsevier Ltd","title":"Valorization of microalgae into 5-hydroxymethylfurfural by two-step conversion with ferric sulfate","type":"article-journal","volume":"293"},"uris":["http://www.mendeley.com/documents/?uuid=f0df14fd-d5b8-4161-8770-1014d5a10eeb"]}],"mendeley":{"formattedCitation":"(Jeong, 2021)","plainTextFormattedCitation":"(Jeong, 2021)","previouslyFormattedCitation":"(Jeong, 2021)"},"properties":{"noteIndex":0},"schema":"https://github.com/citation-style-language/schema/raw/master/csl-citation.json"}</w:instrText>
      </w:r>
      <w:r w:rsidR="00932BE5">
        <w:fldChar w:fldCharType="separate"/>
      </w:r>
      <w:r w:rsidR="00932BE5" w:rsidRPr="00932BE5">
        <w:rPr>
          <w:noProof/>
        </w:rPr>
        <w:t>(Jeong, 2021)</w:t>
      </w:r>
      <w:r w:rsidR="00932BE5">
        <w:fldChar w:fldCharType="end"/>
      </w:r>
      <w:r w:rsidR="00932BE5">
        <w:t>.</w:t>
      </w:r>
      <w:r w:rsidR="0026003F">
        <w:t xml:space="preserve"> </w:t>
      </w:r>
      <w:r w:rsidR="0020177A">
        <w:t xml:space="preserve">This work describes a proof-of-concept process which combines the production of two </w:t>
      </w:r>
      <w:r w:rsidR="007D370A">
        <w:t>molecules</w:t>
      </w:r>
      <w:r w:rsidR="0020177A">
        <w:t xml:space="preserve"> with a good added-value</w:t>
      </w:r>
      <w:r w:rsidR="00476C5D">
        <w:t xml:space="preserve"> starting from an autochthonous microalgal species, </w:t>
      </w:r>
      <w:r w:rsidR="00476C5D" w:rsidRPr="00476C5D">
        <w:rPr>
          <w:i/>
          <w:iCs/>
        </w:rPr>
        <w:t>Chlorella sp</w:t>
      </w:r>
      <w:r w:rsidR="00476C5D">
        <w:t>. CW2</w:t>
      </w:r>
      <w:r w:rsidR="0020177A">
        <w:t xml:space="preserve">. The process may be used to make the cultivation of microalgal biomass sustainable and may help </w:t>
      </w:r>
      <w:r w:rsidR="007D370A">
        <w:t xml:space="preserve">in </w:t>
      </w:r>
      <w:r w:rsidR="0020177A">
        <w:t>spreading the microalgal industrial sector thanks to the abatement of costs.</w:t>
      </w:r>
    </w:p>
    <w:p w14:paraId="677EBFF0" w14:textId="6AFA3C06" w:rsidR="00600535" w:rsidRPr="00B57B36" w:rsidRDefault="008D65FD" w:rsidP="00600535">
      <w:pPr>
        <w:pStyle w:val="CETHeading1"/>
        <w:tabs>
          <w:tab w:val="clear" w:pos="360"/>
          <w:tab w:val="right" w:pos="7100"/>
        </w:tabs>
        <w:jc w:val="both"/>
        <w:rPr>
          <w:lang w:val="en-GB"/>
        </w:rPr>
      </w:pPr>
      <w:r>
        <w:rPr>
          <w:lang w:val="en-GB"/>
        </w:rPr>
        <w:t>Materials and methods</w:t>
      </w:r>
    </w:p>
    <w:p w14:paraId="38B49918" w14:textId="0064E04F" w:rsidR="004827B2" w:rsidRPr="004827B2" w:rsidRDefault="004827B2" w:rsidP="004827B2">
      <w:pPr>
        <w:pStyle w:val="CETheadingx"/>
      </w:pPr>
      <w:r w:rsidRPr="004827B2">
        <w:t>Algal growth</w:t>
      </w:r>
    </w:p>
    <w:p w14:paraId="03621174" w14:textId="3C4845DE" w:rsidR="004827B2" w:rsidRDefault="004827B2" w:rsidP="004827B2">
      <w:pPr>
        <w:pStyle w:val="CETBodytext"/>
        <w:rPr>
          <w:lang w:val="en-GB"/>
        </w:rPr>
      </w:pPr>
      <w:r w:rsidRPr="004827B2">
        <w:rPr>
          <w:lang w:val="en-GB"/>
        </w:rPr>
        <w:t xml:space="preserve">Microalga </w:t>
      </w:r>
      <w:r w:rsidRPr="004827B2">
        <w:rPr>
          <w:i/>
          <w:iCs/>
          <w:lang w:val="en-GB"/>
        </w:rPr>
        <w:t>Chlorella sp</w:t>
      </w:r>
      <w:r w:rsidRPr="004827B2">
        <w:rPr>
          <w:lang w:val="en-GB"/>
        </w:rPr>
        <w:t xml:space="preserve">. </w:t>
      </w:r>
      <w:r w:rsidR="00C64885">
        <w:rPr>
          <w:lang w:val="en-GB"/>
        </w:rPr>
        <w:t>CW2</w:t>
      </w:r>
      <w:r w:rsidRPr="004827B2">
        <w:rPr>
          <w:lang w:val="en-GB"/>
        </w:rPr>
        <w:t xml:space="preserve"> was previously isolated from </w:t>
      </w:r>
      <w:r w:rsidR="00C64885">
        <w:rPr>
          <w:lang w:val="en-GB"/>
        </w:rPr>
        <w:t>the activated sludge obtained from a real wastewater treatment plant</w:t>
      </w:r>
      <w:r w:rsidRPr="004827B2">
        <w:rPr>
          <w:lang w:val="en-GB"/>
        </w:rPr>
        <w:t xml:space="preserve"> and molecularly characterized </w:t>
      </w:r>
      <w:r w:rsidRPr="004827B2">
        <w:rPr>
          <w:lang w:val="en-GB"/>
        </w:rPr>
        <w:fldChar w:fldCharType="begin" w:fldLock="1"/>
      </w:r>
      <w:r w:rsidR="003E7DB2">
        <w:rPr>
          <w:lang w:val="en-GB"/>
        </w:rPr>
        <w:instrText>ADDIN CSL_CITATION {"citationItems":[{"id":"ITEM-1","itemData":{"DOI":"10.1016/j.jwpe.2022.103142","ISSN":"2214-7144","author":[{"dropping-particle":"","family":"Lima","given":"Serena","non-dropping-particle":"","parse-names":false,"suffix":""},{"dropping-particle":"","family":"Brucato","given":"Alberto","non-dropping-particle":"","parse-names":false,"suffix":""},{"dropping-particle":"","family":"Caputo","given":"Giuseppe","non-dropping-particle":"","parse-names":false,"suffix":""},{"dropping-particle":"","family":"Grisafi","given":"Franco","non-dropping-particle":"","parse-names":false,"suffix":""},{"dropping-particle":"","family":"Scargiali","given":"Francesca","non-dropping-particle":"","parse-names":false,"suffix":""}],"container-title":"Journal of Water Process Engineering","id":"ITEM-1","issue":"June","issued":{"date-parts":[["2022"]]},"page":"103142","publisher":"Elsevier Ltd","title":"Inoculum of indigenous microalgae / activated sludge for optimal treatment of municipal wastewaters and biochemical composition of residual biomass for potential applications","type":"article-journal","volume":"49"},"uris":["http://www.mendeley.com/documents/?uuid=53d133af-2394-47c2-9b8c-8fc683095199"]}],"mendeley":{"formattedCitation":"(Lima et al., 2022)","plainTextFormattedCitation":"(Lima et al., 2022)","previouslyFormattedCitation":"(Lima et al., 2022)"},"properties":{"noteIndex":0},"schema":"https://github.com/citation-style-language/schema/raw/master/csl-citation.json"}</w:instrText>
      </w:r>
      <w:r w:rsidRPr="004827B2">
        <w:rPr>
          <w:lang w:val="en-GB"/>
        </w:rPr>
        <w:fldChar w:fldCharType="separate"/>
      </w:r>
      <w:r w:rsidR="00C64885" w:rsidRPr="00C64885">
        <w:rPr>
          <w:noProof/>
          <w:lang w:val="en-GB"/>
        </w:rPr>
        <w:t>(Lima et al., 2022)</w:t>
      </w:r>
      <w:r w:rsidRPr="004827B2">
        <w:fldChar w:fldCharType="end"/>
      </w:r>
      <w:r w:rsidRPr="004827B2">
        <w:rPr>
          <w:lang w:val="en-GB"/>
        </w:rPr>
        <w:t xml:space="preserve">. The strain was kept in liquid medium. For this work, a commercial fertilizer (Spray-feed, </w:t>
      </w:r>
      <w:proofErr w:type="spellStart"/>
      <w:r w:rsidRPr="004827B2">
        <w:rPr>
          <w:lang w:val="en-GB"/>
        </w:rPr>
        <w:t>Pavoni</w:t>
      </w:r>
      <w:proofErr w:type="spellEnd"/>
      <w:r w:rsidRPr="004827B2">
        <w:rPr>
          <w:lang w:val="en-GB"/>
        </w:rPr>
        <w:t>) diluted in H</w:t>
      </w:r>
      <w:r w:rsidRPr="004827B2">
        <w:rPr>
          <w:vertAlign w:val="subscript"/>
          <w:lang w:val="en-GB"/>
        </w:rPr>
        <w:t>2</w:t>
      </w:r>
      <w:r w:rsidRPr="004827B2">
        <w:rPr>
          <w:lang w:val="en-GB"/>
        </w:rPr>
        <w:t>O was employed at the concentration of 3 g L</w:t>
      </w:r>
      <w:r w:rsidRPr="004827B2">
        <w:rPr>
          <w:vertAlign w:val="superscript"/>
          <w:lang w:val="en-GB"/>
        </w:rPr>
        <w:t>-1</w:t>
      </w:r>
      <w:r w:rsidRPr="004827B2">
        <w:rPr>
          <w:lang w:val="en-GB"/>
        </w:rPr>
        <w:t xml:space="preserve">. A pre-culture of the microalgae was set up by inoculating 50 mL of sample from a culture flask in 500 mL of fresh medium. When cells were in late exponential phase (after about 10 cultivation days), the cell suspension were used to inoculate a bubble column photobioreactor with the volume of 5 L. </w:t>
      </w:r>
      <w:r w:rsidR="001A0AF6">
        <w:rPr>
          <w:lang w:val="en-GB"/>
        </w:rPr>
        <w:t>A</w:t>
      </w:r>
      <w:r w:rsidRPr="004827B2">
        <w:rPr>
          <w:lang w:val="en-GB"/>
        </w:rPr>
        <w:t>lgae were cultivated for 1</w:t>
      </w:r>
      <w:r w:rsidR="004A089C">
        <w:rPr>
          <w:lang w:val="en-GB"/>
        </w:rPr>
        <w:t>1</w:t>
      </w:r>
      <w:r w:rsidRPr="004827B2">
        <w:rPr>
          <w:lang w:val="en-GB"/>
        </w:rPr>
        <w:t xml:space="preserve"> days under a photon flux density of about </w:t>
      </w:r>
      <w:r w:rsidR="004A089C">
        <w:rPr>
          <w:lang w:val="en-GB"/>
        </w:rPr>
        <w:t>25</w:t>
      </w:r>
      <w:r w:rsidRPr="004827B2">
        <w:rPr>
          <w:lang w:val="en-GB"/>
        </w:rPr>
        <w:t xml:space="preserve">0 </w:t>
      </w:r>
      <w:proofErr w:type="spellStart"/>
      <w:r w:rsidRPr="004827B2">
        <w:rPr>
          <w:lang w:val="en-GB"/>
        </w:rPr>
        <w:t>μmol</w:t>
      </w:r>
      <w:proofErr w:type="spellEnd"/>
      <w:r w:rsidRPr="004827B2">
        <w:rPr>
          <w:lang w:val="en-GB"/>
        </w:rPr>
        <w:t xml:space="preserve"> m</w:t>
      </w:r>
      <w:r w:rsidRPr="004827B2">
        <w:rPr>
          <w:vertAlign w:val="superscript"/>
          <w:lang w:val="en-GB"/>
        </w:rPr>
        <w:t>-2</w:t>
      </w:r>
      <w:r w:rsidRPr="004827B2">
        <w:rPr>
          <w:lang w:val="en-GB"/>
        </w:rPr>
        <w:t xml:space="preserve"> s</w:t>
      </w:r>
      <w:r w:rsidRPr="004827B2">
        <w:rPr>
          <w:vertAlign w:val="superscript"/>
          <w:lang w:val="en-GB"/>
        </w:rPr>
        <w:t>-1</w:t>
      </w:r>
      <w:r w:rsidRPr="004827B2">
        <w:rPr>
          <w:lang w:val="en-GB"/>
        </w:rPr>
        <w:t xml:space="preserve">. Light intensity was measured with a Delta Ohm-HD 9021 quantometer equipped with a Photosynthetic Active Radiation (PAR) probe (Delta Ohm LP 9021 PAR). </w:t>
      </w:r>
      <w:r w:rsidR="007E6FBD">
        <w:rPr>
          <w:lang w:val="en-GB"/>
        </w:rPr>
        <w:t xml:space="preserve">The cultivation was repeated four times to </w:t>
      </w:r>
      <w:r w:rsidR="001A0AF6">
        <w:rPr>
          <w:lang w:val="en-GB"/>
        </w:rPr>
        <w:t xml:space="preserve">harvest </w:t>
      </w:r>
      <w:r w:rsidR="007E6FBD">
        <w:rPr>
          <w:lang w:val="en-GB"/>
        </w:rPr>
        <w:t xml:space="preserve">enough biomass for the </w:t>
      </w:r>
      <w:r w:rsidR="001A0AF6">
        <w:rPr>
          <w:lang w:val="en-GB"/>
        </w:rPr>
        <w:t xml:space="preserve">following </w:t>
      </w:r>
      <w:r w:rsidR="007E6FBD">
        <w:rPr>
          <w:lang w:val="en-GB"/>
        </w:rPr>
        <w:t>treatments.</w:t>
      </w:r>
      <w:r w:rsidR="007E6FBD" w:rsidRPr="007E6FBD">
        <w:rPr>
          <w:lang w:val="en-GB"/>
        </w:rPr>
        <w:t xml:space="preserve"> </w:t>
      </w:r>
      <w:r w:rsidR="0026003F">
        <w:rPr>
          <w:lang w:val="en-GB"/>
        </w:rPr>
        <w:t xml:space="preserve">The growth was followed by reading the absorbance at 750 nm with a Cary </w:t>
      </w:r>
      <w:proofErr w:type="spellStart"/>
      <w:r w:rsidR="0026003F">
        <w:rPr>
          <w:lang w:val="en-GB"/>
        </w:rPr>
        <w:t>Uv</w:t>
      </w:r>
      <w:proofErr w:type="spellEnd"/>
      <w:r w:rsidR="0026003F">
        <w:rPr>
          <w:lang w:val="en-GB"/>
        </w:rPr>
        <w:t xml:space="preserve">-Vis (Agilent, US) spectrophotometer and by correlating the value with concentration in dry weight through a calibration curve. </w:t>
      </w:r>
      <w:r w:rsidR="007E6FBD">
        <w:rPr>
          <w:lang w:val="en-GB"/>
        </w:rPr>
        <w:t>At the end of the cultivation</w:t>
      </w:r>
      <w:r w:rsidR="001A0AF6">
        <w:rPr>
          <w:lang w:val="en-GB"/>
        </w:rPr>
        <w:t>,</w:t>
      </w:r>
      <w:r w:rsidR="007E6FBD">
        <w:rPr>
          <w:lang w:val="en-GB"/>
        </w:rPr>
        <w:t xml:space="preserve"> biomass </w:t>
      </w:r>
      <w:r w:rsidR="007E6FBD" w:rsidRPr="004827B2">
        <w:rPr>
          <w:lang w:val="en-GB"/>
        </w:rPr>
        <w:t>was collected</w:t>
      </w:r>
      <w:r w:rsidR="007E6FBD">
        <w:rPr>
          <w:lang w:val="en-GB"/>
        </w:rPr>
        <w:t xml:space="preserve">, </w:t>
      </w:r>
      <w:r w:rsidR="007E6FBD" w:rsidRPr="004827B2">
        <w:rPr>
          <w:lang w:val="en-GB"/>
        </w:rPr>
        <w:t>harvested by centrifugation</w:t>
      </w:r>
      <w:r w:rsidR="007E6FBD">
        <w:rPr>
          <w:lang w:val="en-GB"/>
        </w:rPr>
        <w:t>,</w:t>
      </w:r>
      <w:r w:rsidR="007E6FBD" w:rsidRPr="004827B2">
        <w:rPr>
          <w:lang w:val="en-GB"/>
        </w:rPr>
        <w:t xml:space="preserve"> </w:t>
      </w:r>
      <w:r w:rsidR="007E6FBD">
        <w:rPr>
          <w:lang w:val="en-GB"/>
        </w:rPr>
        <w:t>lyophili</w:t>
      </w:r>
      <w:r w:rsidR="00BA09D9">
        <w:rPr>
          <w:lang w:val="en-GB"/>
        </w:rPr>
        <w:t>z</w:t>
      </w:r>
      <w:r w:rsidR="007E6FBD">
        <w:rPr>
          <w:lang w:val="en-GB"/>
        </w:rPr>
        <w:t xml:space="preserve">ed </w:t>
      </w:r>
      <w:r w:rsidR="007E6FBD" w:rsidRPr="004827B2">
        <w:rPr>
          <w:lang w:val="en-GB"/>
        </w:rPr>
        <w:t xml:space="preserve">for 24 h in a bench </w:t>
      </w:r>
      <w:proofErr w:type="spellStart"/>
      <w:r w:rsidR="007E6FBD" w:rsidRPr="004827B2">
        <w:rPr>
          <w:lang w:val="en-GB"/>
        </w:rPr>
        <w:t>lyophilizator</w:t>
      </w:r>
      <w:proofErr w:type="spellEnd"/>
      <w:r w:rsidR="007E6FBD" w:rsidRPr="004827B2">
        <w:rPr>
          <w:lang w:val="en-GB"/>
        </w:rPr>
        <w:t xml:space="preserve"> (Alpha 1-2 </w:t>
      </w:r>
      <w:proofErr w:type="spellStart"/>
      <w:r w:rsidR="007E6FBD" w:rsidRPr="004827B2">
        <w:rPr>
          <w:lang w:val="en-GB"/>
        </w:rPr>
        <w:t>LDplus</w:t>
      </w:r>
      <w:proofErr w:type="spellEnd"/>
      <w:r w:rsidR="007E6FBD" w:rsidRPr="004827B2">
        <w:rPr>
          <w:lang w:val="en-GB"/>
        </w:rPr>
        <w:t>, Christ, DE)</w:t>
      </w:r>
      <w:r w:rsidR="007E6FBD">
        <w:rPr>
          <w:lang w:val="en-GB"/>
        </w:rPr>
        <w:t xml:space="preserve"> and</w:t>
      </w:r>
      <w:r w:rsidR="007E6FBD" w:rsidRPr="004827B2">
        <w:rPr>
          <w:lang w:val="en-GB"/>
        </w:rPr>
        <w:t xml:space="preserve"> homogenised</w:t>
      </w:r>
      <w:r w:rsidR="007E6FBD">
        <w:rPr>
          <w:lang w:val="en-GB"/>
        </w:rPr>
        <w:t>.</w:t>
      </w:r>
    </w:p>
    <w:p w14:paraId="4B6C9035" w14:textId="77777777" w:rsidR="0026003F" w:rsidRDefault="0026003F" w:rsidP="0026003F">
      <w:pPr>
        <w:pStyle w:val="CETheadingx"/>
      </w:pPr>
      <w:r w:rsidRPr="0026003F">
        <w:t xml:space="preserve">Microalgal cells treatment to obtain oil and carbohydrate </w:t>
      </w:r>
      <w:proofErr w:type="gramStart"/>
      <w:r w:rsidRPr="0026003F">
        <w:t>fractions</w:t>
      </w:r>
      <w:proofErr w:type="gramEnd"/>
      <w:r w:rsidRPr="0026003F">
        <w:t xml:space="preserve"> </w:t>
      </w:r>
    </w:p>
    <w:p w14:paraId="3BAD2380" w14:textId="550DDB43" w:rsidR="0026003F" w:rsidRPr="004827B2" w:rsidRDefault="0026003F" w:rsidP="0026003F">
      <w:pPr>
        <w:pStyle w:val="CETBodytext"/>
      </w:pPr>
      <w:r>
        <w:t>Microalgal triglycerides were extracted from microalgal biomass through a solid-liquid extraction. Briefly, approximately 2 g of dry biomass suspended in 30 mL NaCl 1M water solution were mechanically lysed by ball milling (</w:t>
      </w:r>
      <w:proofErr w:type="spellStart"/>
      <w:r>
        <w:t>Retsch</w:t>
      </w:r>
      <w:proofErr w:type="spellEnd"/>
      <w:r>
        <w:t xml:space="preserve"> PM 100, DE) for 25 min at 500 rpm. The mixture was subsequently extracted with about 100 mL of Chloroform/Methanol 1:1. The lower phase, containing oil dissolved in chloroform, was collected. The entire procedure was repeated </w:t>
      </w:r>
      <w:proofErr w:type="gramStart"/>
      <w:r>
        <w:t>twice</w:t>
      </w:r>
      <w:proofErr w:type="gramEnd"/>
      <w:r>
        <w:t xml:space="preserve"> and the organic phases were pooled together. The mixture was evaporated in a rotavapor. The upper phase, containing methanol, water and cellular debris was centrifuged to collect the solid fraction. The cellular debris was then rinsed twice with water and dried in an oven over night at 60°C and stored till further analysis and treatment.</w:t>
      </w:r>
    </w:p>
    <w:p w14:paraId="1C416AA6" w14:textId="70D9140D" w:rsidR="00600794" w:rsidRDefault="00600794" w:rsidP="004827B2">
      <w:pPr>
        <w:pStyle w:val="CETheadingx"/>
      </w:pPr>
      <w:r>
        <w:t xml:space="preserve">Preparation of free fatty acids mixture </w:t>
      </w:r>
      <w:r w:rsidR="00C64885">
        <w:t xml:space="preserve">from microalgal </w:t>
      </w:r>
      <w:r w:rsidR="0026003F">
        <w:t>oil</w:t>
      </w:r>
      <w:r w:rsidR="00C64885">
        <w:t xml:space="preserve"> </w:t>
      </w:r>
      <w:r>
        <w:t>and whole-cell biocatalyst</w:t>
      </w:r>
    </w:p>
    <w:p w14:paraId="458948E4" w14:textId="5017755C" w:rsidR="002A4793" w:rsidRDefault="002A4793" w:rsidP="00600794">
      <w:pPr>
        <w:pStyle w:val="CETBodytext"/>
      </w:pPr>
      <w:r>
        <w:t xml:space="preserve">The free fatty acid (FFA) mixture was obtained from the triglyceride extracted from the microalgae </w:t>
      </w:r>
      <w:r w:rsidR="00D73298">
        <w:t>through a</w:t>
      </w:r>
      <w:r w:rsidR="0078421D">
        <w:t xml:space="preserve"> hydrolysis </w:t>
      </w:r>
      <w:r w:rsidR="00D73298">
        <w:t xml:space="preserve">reaction. </w:t>
      </w:r>
      <w:r w:rsidR="0078421D">
        <w:t xml:space="preserve">Briefly, </w:t>
      </w:r>
      <w:r w:rsidR="00D73298">
        <w:t>100 mg of oils were mixed with 2 mL of 20% (</w:t>
      </w:r>
      <w:r w:rsidR="00245ADB">
        <w:t>w</w:t>
      </w:r>
      <w:r w:rsidR="00D73298">
        <w:t>/</w:t>
      </w:r>
      <w:r w:rsidR="0078421D">
        <w:t>v</w:t>
      </w:r>
      <w:r w:rsidR="00D73298">
        <w:t>) KOH</w:t>
      </w:r>
      <w:r w:rsidR="00245ADB">
        <w:t xml:space="preserve"> in </w:t>
      </w:r>
      <w:r w:rsidR="00D73298">
        <w:t>E</w:t>
      </w:r>
      <w:r w:rsidR="00245ADB">
        <w:t>thanol</w:t>
      </w:r>
      <w:r w:rsidR="0078421D">
        <w:t>/water 7:1</w:t>
      </w:r>
      <w:r w:rsidR="00D73298">
        <w:t xml:space="preserve"> and </w:t>
      </w:r>
      <w:r w:rsidR="0078421D">
        <w:lastRenderedPageBreak/>
        <w:t xml:space="preserve">incubated </w:t>
      </w:r>
      <w:r w:rsidR="00D73298">
        <w:t xml:space="preserve">for 1 h at 80 °C. Then, the solution was acidified with 100 </w:t>
      </w:r>
      <w:r w:rsidR="00D73298">
        <w:rPr>
          <w:rFonts w:cs="Arial"/>
        </w:rPr>
        <w:t>µ</w:t>
      </w:r>
      <w:r w:rsidR="00D73298">
        <w:t>l of H</w:t>
      </w:r>
      <w:r w:rsidR="00D73298" w:rsidRPr="00D73298">
        <w:rPr>
          <w:vertAlign w:val="subscript"/>
        </w:rPr>
        <w:t>2</w:t>
      </w:r>
      <w:r w:rsidR="00D73298">
        <w:t>SO</w:t>
      </w:r>
      <w:r w:rsidR="00D73298" w:rsidRPr="00D73298">
        <w:rPr>
          <w:vertAlign w:val="subscript"/>
        </w:rPr>
        <w:t>4</w:t>
      </w:r>
      <w:r w:rsidR="00D73298">
        <w:t xml:space="preserve"> 20% (</w:t>
      </w:r>
      <w:r w:rsidR="0078421D">
        <w:t>v</w:t>
      </w:r>
      <w:r w:rsidR="00D73298">
        <w:t>/</w:t>
      </w:r>
      <w:r w:rsidR="0078421D">
        <w:t>v</w:t>
      </w:r>
      <w:r w:rsidR="00D73298">
        <w:t>). 1 mL of ethyl acetate was added to the mixture to extract the FFAs.</w:t>
      </w:r>
      <w:r w:rsidR="003F2AE0">
        <w:t xml:space="preserve"> This mixture was used as substrate for the biocatalytic reaction.</w:t>
      </w:r>
    </w:p>
    <w:p w14:paraId="14A52E82" w14:textId="1280D085" w:rsidR="00600794" w:rsidRDefault="00600794" w:rsidP="00600794">
      <w:pPr>
        <w:pStyle w:val="CETBodytext"/>
      </w:pPr>
      <w:r>
        <w:t xml:space="preserve">The biocatalyst </w:t>
      </w:r>
      <w:r w:rsidR="0078421D">
        <w:t xml:space="preserve">used in the reaction was </w:t>
      </w:r>
      <w:r w:rsidRPr="00E82C4B">
        <w:rPr>
          <w:i/>
          <w:iCs/>
        </w:rPr>
        <w:t>Escherichia coli</w:t>
      </w:r>
      <w:r>
        <w:t xml:space="preserve"> BL21</w:t>
      </w:r>
      <w:r w:rsidR="00E82C4B">
        <w:t xml:space="preserve"> </w:t>
      </w:r>
      <w:r>
        <w:t xml:space="preserve">(DE3) whole-cells containing the recombinant enzyme </w:t>
      </w:r>
      <w:proofErr w:type="spellStart"/>
      <w:r w:rsidRPr="00C64885">
        <w:rPr>
          <w:i/>
          <w:iCs/>
        </w:rPr>
        <w:t>Elizabethkingia</w:t>
      </w:r>
      <w:proofErr w:type="spellEnd"/>
      <w:r w:rsidRPr="00C64885">
        <w:rPr>
          <w:i/>
          <w:iCs/>
        </w:rPr>
        <w:t xml:space="preserve"> </w:t>
      </w:r>
      <w:proofErr w:type="spellStart"/>
      <w:r w:rsidRPr="00C64885">
        <w:rPr>
          <w:i/>
          <w:iCs/>
        </w:rPr>
        <w:t>meningoseptica</w:t>
      </w:r>
      <w:proofErr w:type="spellEnd"/>
      <w:r>
        <w:t xml:space="preserve"> oleate hydratase (</w:t>
      </w:r>
      <w:proofErr w:type="spellStart"/>
      <w:r>
        <w:t>Em_OhyA</w:t>
      </w:r>
      <w:proofErr w:type="spellEnd"/>
      <w:r>
        <w:t xml:space="preserve">) which was expressed as previously described </w:t>
      </w:r>
      <w:r w:rsidR="003E7DB2">
        <w:fldChar w:fldCharType="begin" w:fldLock="1"/>
      </w:r>
      <w:r w:rsidR="00D621CE">
        <w:instrText>ADDIN CSL_CITATION {"citationItems":[{"id":"ITEM-1","itemData":{"DOI":"10.1016/j.enzmictec.2022.110164","ISSN":"18790909","PMID":"36455467","abstract":"The development of biorefinery approaches is of great relevance for the sustainable production of valuable compounds. In accordance with circular economy principles, waste cooking oils (WCOs) are renewable resources and biorefinery feedstocks, which contribute to a reduced impact on the environment. Frequently, this waste is wrongly disposed of into municipal sewage systems, thereby creating problems for the environment and increasing treatment costs in wastewater treatment plants. In this study, regenerated WCOs, which were intended for the production of biofuels, were transformed through a chemo-enzymatic approach to produce hydroxy fatty acids, which were further used in polycondensation reaction for polyester production. Escherichia coli whole cell biocatalyst containing the recombinantly produced Elizabethkingia meningoseptica Oleate hydratase (Em_OhyA) was used for the biocatalytic hydration of crude WCOs-derived unsaturated free fatty acids for the production of hydroxy fatty acids. Further hydrogenation reaction and methylation of the crude mixture allowed the production of (R)− 10-hydroxystearic acid methyl ester that was further purified with a high purity (&gt; 90%), at gram scale. The purified (R)− 10-hydroxystearic acid methyl ester was polymerized through a polycondensation reaction to produce the corresponding polyester. This work highlights the potential of waste products to obtain bio-based hydroxy fatty acids and polyesters through a biorefinery approach.","author":[{"dropping-particle":"","family":"Biundo","given":"Antonino","non-dropping-particle":"","parse-names":false,"suffix":""},{"dropping-particle":"","family":"Stamm","given":"Arne","non-dropping-particle":"","parse-names":false,"suffix":""},{"dropping-particle":"","family":"Gorgoglione","given":"Ruggiero","non-dropping-particle":"","parse-names":false,"suffix":""},{"dropping-particle":"","family":"Syrén","given":"Per Olof","non-dropping-particle":"","parse-names":false,"suffix":""},{"dropping-particle":"","family":"Curia","given":"Silvio","non-dropping-particle":"","parse-names":false,"suffix":""},{"dropping-particle":"","family":"Hauer","given":"Bernhard","non-dropping-particle":"","parse-names":false,"suffix":""},{"dropping-particle":"","family":"Capriati","given":"Vito","non-dropping-particle":"","parse-names":false,"suffix":""},{"dropping-particle":"","family":"Vitale","given":"Paola","non-dropping-particle":"","parse-names":false,"suffix":""},{"dropping-particle":"","family":"Perna","given":"Filippo","non-dropping-particle":"","parse-names":false,"suffix":""},{"dropping-particle":"","family":"Agrimi","given":"Gennaro","non-dropping-particle":"","parse-names":false,"suffix":""},{"dropping-particle":"","family":"Pisano","given":"Isabella","non-dropping-particle":"","parse-names":false,"suffix":""}],"container-title":"Enzyme and Microbial Technology","id":"ITEM-1","issue":"October 2022","issued":{"date-parts":[["2023"]]},"title":"Regio- and stereoselective biocatalytic hydration of fatty acids from waste cooking oils en route to hydroxy fatty acids and bio-based polyesters","type":"article-journal","volume":"163"},"uris":["http://www.mendeley.com/documents/?uuid=6197618c-1fb3-41da-9170-8919ca4f2f61"]}],"mendeley":{"formattedCitation":"(Biundo et al., 2023)","plainTextFormattedCitation":"(Biundo et al., 2023)","previouslyFormattedCitation":"(Biundo et al., 2023)"},"properties":{"noteIndex":0},"schema":"https://github.com/citation-style-language/schema/raw/master/csl-citation.json"}</w:instrText>
      </w:r>
      <w:r w:rsidR="003E7DB2">
        <w:fldChar w:fldCharType="separate"/>
      </w:r>
      <w:r w:rsidR="003E7DB2" w:rsidRPr="003E7DB2">
        <w:rPr>
          <w:noProof/>
        </w:rPr>
        <w:t>(Biundo et al., 2023)</w:t>
      </w:r>
      <w:r w:rsidR="003E7DB2">
        <w:fldChar w:fldCharType="end"/>
      </w:r>
      <w:r>
        <w:t xml:space="preserve">. </w:t>
      </w:r>
      <w:r w:rsidR="00B029B4" w:rsidRPr="00B029B4">
        <w:t xml:space="preserve">Briefly, after the growth and the expression of the recombinant enzyme, the cells were </w:t>
      </w:r>
      <w:proofErr w:type="gramStart"/>
      <w:r w:rsidR="00B029B4" w:rsidRPr="00B029B4">
        <w:t>centrifuged</w:t>
      </w:r>
      <w:proofErr w:type="gramEnd"/>
      <w:r w:rsidR="00B029B4" w:rsidRPr="00B029B4">
        <w:t xml:space="preserve"> and the pellet stored at -4°C for subsequent use.</w:t>
      </w:r>
    </w:p>
    <w:p w14:paraId="27E0AA65" w14:textId="77777777" w:rsidR="004A089C" w:rsidRPr="004A089C" w:rsidRDefault="004827B2" w:rsidP="004A089C">
      <w:pPr>
        <w:pStyle w:val="CETheadingx"/>
      </w:pPr>
      <w:r w:rsidRPr="004827B2">
        <w:rPr>
          <w:lang w:val="en-GB"/>
        </w:rPr>
        <w:t>Analysis of fatty acid content in oils and quantification</w:t>
      </w:r>
      <w:r w:rsidR="004A089C" w:rsidRPr="004A089C">
        <w:rPr>
          <w:lang w:val="en-GB"/>
        </w:rPr>
        <w:t xml:space="preserve"> </w:t>
      </w:r>
    </w:p>
    <w:p w14:paraId="43249FE0" w14:textId="66F478AE" w:rsidR="004827B2" w:rsidRPr="004827B2" w:rsidRDefault="004A089C" w:rsidP="004A089C">
      <w:pPr>
        <w:pStyle w:val="CETBodytext"/>
      </w:pPr>
      <w:r w:rsidRPr="004827B2">
        <w:t xml:space="preserve">The analysis of </w:t>
      </w:r>
      <w:r w:rsidR="00B91A3E">
        <w:t>FA</w:t>
      </w:r>
      <w:r w:rsidR="0078421D">
        <w:t>s</w:t>
      </w:r>
      <w:r w:rsidR="00B91A3E">
        <w:t xml:space="preserve"> </w:t>
      </w:r>
      <w:r w:rsidRPr="004827B2">
        <w:t xml:space="preserve">was </w:t>
      </w:r>
      <w:r w:rsidR="00BC3532">
        <w:t>performed</w:t>
      </w:r>
      <w:r w:rsidRPr="004827B2">
        <w:t xml:space="preserve"> on </w:t>
      </w:r>
      <w:r w:rsidR="00BC3532">
        <w:t>microalgae</w:t>
      </w:r>
      <w:r w:rsidRPr="004827B2">
        <w:t xml:space="preserve"> following the National Renewable Energy Laboratory (NREL) method. </w:t>
      </w:r>
      <w:r w:rsidR="00BC3532">
        <w:t xml:space="preserve">It </w:t>
      </w:r>
      <w:r w:rsidR="0078421D">
        <w:t>was</w:t>
      </w:r>
      <w:r w:rsidR="00BC3532">
        <w:t xml:space="preserve"> </w:t>
      </w:r>
      <w:r w:rsidR="0078421D">
        <w:t xml:space="preserve">performed </w:t>
      </w:r>
      <w:r w:rsidR="00BC3532">
        <w:t>by</w:t>
      </w:r>
      <w:r w:rsidRPr="004827B2">
        <w:t xml:space="preserve"> </w:t>
      </w:r>
      <w:r w:rsidR="0078421D">
        <w:t xml:space="preserve">the simultaneous </w:t>
      </w:r>
      <w:r w:rsidRPr="004827B2">
        <w:t>transesterification</w:t>
      </w:r>
      <w:r w:rsidR="00BC3532">
        <w:t xml:space="preserve"> and </w:t>
      </w:r>
      <w:r w:rsidRPr="004827B2">
        <w:t>extraction of fatty acid methyl esters</w:t>
      </w:r>
      <w:r w:rsidR="0078421D">
        <w:t xml:space="preserve"> (FAMEs)</w:t>
      </w:r>
      <w:r w:rsidRPr="004827B2">
        <w:t xml:space="preserve"> and </w:t>
      </w:r>
      <w:r w:rsidR="0078421D">
        <w:t xml:space="preserve">subsequently </w:t>
      </w:r>
      <w:r w:rsidRPr="004827B2">
        <w:t xml:space="preserve">gas chromatography analysis. Briefly, approximately </w:t>
      </w:r>
      <w:r>
        <w:t>10</w:t>
      </w:r>
      <w:r w:rsidRPr="004827B2">
        <w:t xml:space="preserve"> mg of </w:t>
      </w:r>
      <w:r w:rsidR="0078421D">
        <w:t xml:space="preserve">microalgal </w:t>
      </w:r>
      <w:r>
        <w:t>biomass</w:t>
      </w:r>
      <w:r w:rsidRPr="004827B2">
        <w:t xml:space="preserve"> were weighed in a HPLC-vial and mixed with 200 µl of chloroform/methanol (2:1, v/v)</w:t>
      </w:r>
      <w:r w:rsidR="0078421D">
        <w:t xml:space="preserve"> solution</w:t>
      </w:r>
      <w:r w:rsidRPr="004827B2">
        <w:t>, 300 µl of HCl 0.6 M in methanol and 25 µl of internal standard (</w:t>
      </w:r>
      <w:proofErr w:type="spellStart"/>
      <w:r w:rsidRPr="004827B2">
        <w:t>pentanoic</w:t>
      </w:r>
      <w:proofErr w:type="spellEnd"/>
      <w:r w:rsidRPr="004827B2">
        <w:t xml:space="preserve"> acid, 10 mg mL</w:t>
      </w:r>
      <w:r w:rsidRPr="007D370A">
        <w:rPr>
          <w:vertAlign w:val="superscript"/>
        </w:rPr>
        <w:t>-1</w:t>
      </w:r>
      <w:r w:rsidRPr="004827B2">
        <w:t xml:space="preserve">). The vials were tightly sealed and put in a water bath at 85°C for 1 h. After cooling down at room temperature for 15 min, 1 mL of hexane was added, vortexed and left at room temperature for 1 h. Then, the upper phase was transferred in a new vial and 1 µl was analyzed by gas chromatography using a GC 7890A System (Agilent Technology, USA) equipped with a flame ionization detector (FID) and a capillary column </w:t>
      </w:r>
      <w:proofErr w:type="spellStart"/>
      <w:r w:rsidRPr="004827B2">
        <w:t>Omegawax</w:t>
      </w:r>
      <w:proofErr w:type="spellEnd"/>
      <w:r w:rsidRPr="004827B2">
        <w:t xml:space="preserve"> 250 (Agilent Technologies, USA). The initial temperature was 50 °C, increased to 220 °C as working temperature. Total analytic time was 79.5 min and argon </w:t>
      </w:r>
      <w:proofErr w:type="gramStart"/>
      <w:r w:rsidRPr="004827B2">
        <w:t>was</w:t>
      </w:r>
      <w:proofErr w:type="gramEnd"/>
      <w:r w:rsidRPr="004827B2">
        <w:t xml:space="preserve"> used as carrier. The quantification of lipid was performed by comparing samples chromatograms with the standard. </w:t>
      </w:r>
      <w:proofErr w:type="spellStart"/>
      <w:r w:rsidRPr="004827B2">
        <w:t>Supelco</w:t>
      </w:r>
      <w:proofErr w:type="spellEnd"/>
      <w:r w:rsidRPr="004827B2">
        <w:t xml:space="preserve"> 37-Component FAME Mix (Sigma-Aldrich, USA) was used as standard.</w:t>
      </w:r>
      <w:r w:rsidRPr="004A089C">
        <w:t xml:space="preserve"> </w:t>
      </w:r>
      <w:r w:rsidR="00B91A3E">
        <w:t xml:space="preserve">Analysis </w:t>
      </w:r>
      <w:proofErr w:type="gramStart"/>
      <w:r w:rsidR="00B91A3E">
        <w:t>were</w:t>
      </w:r>
      <w:proofErr w:type="gramEnd"/>
      <w:r w:rsidR="00B91A3E">
        <w:t xml:space="preserve"> performed in triplicate and average value retained.</w:t>
      </w:r>
    </w:p>
    <w:p w14:paraId="00BBB8AD" w14:textId="0441C768" w:rsidR="004A089C" w:rsidRDefault="004A089C" w:rsidP="004A089C">
      <w:pPr>
        <w:pStyle w:val="CETheadingx"/>
      </w:pPr>
      <w:r>
        <w:t xml:space="preserve">Biocatalytic reaction on FFA </w:t>
      </w:r>
      <w:r w:rsidR="00E82C4B">
        <w:t xml:space="preserve">from </w:t>
      </w:r>
      <w:r w:rsidR="00E82C4B" w:rsidRPr="00E82C4B">
        <w:rPr>
          <w:i/>
          <w:iCs/>
        </w:rPr>
        <w:t>Chlorella sp. CW2</w:t>
      </w:r>
      <w:r w:rsidR="00E82C4B">
        <w:t xml:space="preserve"> and analysis</w:t>
      </w:r>
    </w:p>
    <w:p w14:paraId="057B61D7" w14:textId="79D86A17" w:rsidR="00126DA8" w:rsidRDefault="004A089C" w:rsidP="00126DA8">
      <w:pPr>
        <w:pStyle w:val="CETBodytext"/>
        <w:rPr>
          <w:strike/>
          <w:lang w:val="en-GB"/>
        </w:rPr>
      </w:pPr>
      <w:r>
        <w:t xml:space="preserve">The biocatalytic conversion of unsaturated FFA to hydroxy-FFA (HFFA) was carried out </w:t>
      </w:r>
      <w:r w:rsidR="00B029B4">
        <w:t xml:space="preserve">at 37 °C and 200 rpm for 24 h </w:t>
      </w:r>
      <w:r>
        <w:t xml:space="preserve">in 50 mL unbaffled </w:t>
      </w:r>
      <w:r w:rsidR="00D621CE">
        <w:t xml:space="preserve">Erlenmeyer </w:t>
      </w:r>
      <w:r>
        <w:t xml:space="preserve">flasks containing 10 mL of 50 mM </w:t>
      </w:r>
      <w:proofErr w:type="spellStart"/>
      <w:r>
        <w:t>NaCitrate</w:t>
      </w:r>
      <w:proofErr w:type="spellEnd"/>
      <w:r>
        <w:t xml:space="preserve"> buffer pH 6 supplemented with 0.4 mM Tween 20 and 10 mg mL</w:t>
      </w:r>
      <w:r w:rsidRPr="00245ADB">
        <w:rPr>
          <w:vertAlign w:val="superscript"/>
        </w:rPr>
        <w:t>-1</w:t>
      </w:r>
      <w:r>
        <w:t xml:space="preserve"> wet cell weight (WCW) </w:t>
      </w:r>
      <w:r w:rsidR="00D621CE">
        <w:t>biocatalyst</w:t>
      </w:r>
      <w:r>
        <w:t xml:space="preserve"> and </w:t>
      </w:r>
      <w:r w:rsidR="00541022">
        <w:t xml:space="preserve">21 </w:t>
      </w:r>
      <w:r>
        <w:t xml:space="preserve">mg </w:t>
      </w:r>
      <w:r w:rsidR="00D621CE">
        <w:t>microalgae</w:t>
      </w:r>
      <w:r>
        <w:t xml:space="preserve">-derived FFA. The reaction was stopped by the addition of 4 mL </w:t>
      </w:r>
      <w:proofErr w:type="spellStart"/>
      <w:r>
        <w:t>EtOAc</w:t>
      </w:r>
      <w:proofErr w:type="spellEnd"/>
      <w:r>
        <w:t xml:space="preserve"> for liquid-liquid extraction of FFA and HFFA mixture. An aliquot of 1.4 mL was collected, out of which 40 µL were separated into a new vial, evaporated at 80 °C and stored at -20 °C until further analysis. </w:t>
      </w:r>
      <w:r w:rsidR="00BC3532" w:rsidRPr="00C64885">
        <w:rPr>
          <w:lang w:val="en-GB"/>
        </w:rPr>
        <w:t xml:space="preserve">The mixture of FFA and HFFA present in the collected samples at the end of the </w:t>
      </w:r>
      <w:r w:rsidR="00BC3532">
        <w:rPr>
          <w:lang w:val="en-GB"/>
        </w:rPr>
        <w:t>bio</w:t>
      </w:r>
      <w:r w:rsidR="00BC3532" w:rsidRPr="00C64885">
        <w:rPr>
          <w:lang w:val="en-GB"/>
        </w:rPr>
        <w:t xml:space="preserve">reactions was analyzed by HPLC </w:t>
      </w:r>
      <w:r w:rsidR="000F4704">
        <w:rPr>
          <w:lang w:val="en-GB"/>
        </w:rPr>
        <w:t>after converting</w:t>
      </w:r>
      <w:r w:rsidR="000F4704" w:rsidRPr="00C64885">
        <w:rPr>
          <w:lang w:val="en-GB"/>
        </w:rPr>
        <w:t xml:space="preserve"> </w:t>
      </w:r>
      <w:r w:rsidR="00BC3532" w:rsidRPr="00C64885">
        <w:rPr>
          <w:lang w:val="en-GB"/>
        </w:rPr>
        <w:t xml:space="preserve">them into phenacyl esters through derivatization with 2-bromoacetophenone </w:t>
      </w:r>
      <w:proofErr w:type="spellStart"/>
      <w:r w:rsidR="00BC3532" w:rsidRPr="00C64885">
        <w:rPr>
          <w:lang w:val="en-GB"/>
        </w:rPr>
        <w:t>catalyzed</w:t>
      </w:r>
      <w:proofErr w:type="spellEnd"/>
      <w:r w:rsidR="00BC3532" w:rsidRPr="00C64885">
        <w:rPr>
          <w:lang w:val="en-GB"/>
        </w:rPr>
        <w:t xml:space="preserve"> by triethylamine, as previously described</w:t>
      </w:r>
      <w:r w:rsidR="00D621CE">
        <w:rPr>
          <w:lang w:val="en-GB"/>
        </w:rPr>
        <w:t xml:space="preserve"> </w:t>
      </w:r>
      <w:r w:rsidR="00E75D47">
        <w:rPr>
          <w:lang w:val="en-GB"/>
        </w:rPr>
        <w:t>(work submitted)</w:t>
      </w:r>
      <w:r w:rsidR="00126DA8">
        <w:rPr>
          <w:lang w:val="en-GB"/>
        </w:rPr>
        <w:t xml:space="preserve"> </w:t>
      </w:r>
      <w:r w:rsidR="00126DA8" w:rsidRPr="00126DA8">
        <w:rPr>
          <w:lang w:val="en-GB"/>
        </w:rPr>
        <w:t xml:space="preserve">by </w:t>
      </w:r>
      <w:r w:rsidR="00BC3532" w:rsidRPr="00126DA8">
        <w:rPr>
          <w:lang w:val="en-GB"/>
        </w:rPr>
        <w:t xml:space="preserve">using a Waters Alliance 2695 separation module (Waters, MA, USA) equipped with a </w:t>
      </w:r>
      <w:proofErr w:type="spellStart"/>
      <w:r w:rsidR="00BC3532" w:rsidRPr="00126DA8">
        <w:rPr>
          <w:lang w:val="en-GB"/>
        </w:rPr>
        <w:t>Kinetex</w:t>
      </w:r>
      <w:proofErr w:type="spellEnd"/>
      <w:r w:rsidR="00BC3532" w:rsidRPr="00126DA8">
        <w:rPr>
          <w:lang w:val="en-GB"/>
        </w:rPr>
        <w:t xml:space="preserve"> EVO C18 column (Phenomenex, 150 mm x 4.6 mm, 100 Å, 5 </w:t>
      </w:r>
      <w:proofErr w:type="spellStart"/>
      <w:r w:rsidR="00BC3532" w:rsidRPr="00126DA8">
        <w:rPr>
          <w:lang w:val="en-GB"/>
        </w:rPr>
        <w:t>μm</w:t>
      </w:r>
      <w:proofErr w:type="spellEnd"/>
      <w:r w:rsidR="00BC3532" w:rsidRPr="00126DA8">
        <w:rPr>
          <w:lang w:val="en-GB"/>
        </w:rPr>
        <w:t>) coupled to a Waters 2996 UV detector set at 242 nm.</w:t>
      </w:r>
      <w:r w:rsidR="00BC3532" w:rsidRPr="00D621CE">
        <w:rPr>
          <w:strike/>
          <w:lang w:val="en-GB"/>
        </w:rPr>
        <w:t xml:space="preserve"> </w:t>
      </w:r>
    </w:p>
    <w:p w14:paraId="2E5C5FD9" w14:textId="5635F2B9" w:rsidR="004827B2" w:rsidRPr="004827B2" w:rsidRDefault="00B029B4" w:rsidP="00126DA8">
      <w:pPr>
        <w:pStyle w:val="CETheadingx"/>
      </w:pPr>
      <w:r>
        <w:t>C</w:t>
      </w:r>
      <w:r w:rsidR="00E82C4B">
        <w:t xml:space="preserve">atalytic </w:t>
      </w:r>
      <w:r>
        <w:t>treatment</w:t>
      </w:r>
      <w:r w:rsidR="00E82C4B">
        <w:t xml:space="preserve"> of </w:t>
      </w:r>
      <w:r w:rsidR="004827B2" w:rsidRPr="001165AC">
        <w:rPr>
          <w:i/>
          <w:iCs/>
        </w:rPr>
        <w:t xml:space="preserve">Chlorella sp. </w:t>
      </w:r>
      <w:r w:rsidR="001165AC" w:rsidRPr="001165AC">
        <w:rPr>
          <w:i/>
          <w:iCs/>
        </w:rPr>
        <w:t>CW2</w:t>
      </w:r>
      <w:r w:rsidR="001165AC">
        <w:t xml:space="preserve"> </w:t>
      </w:r>
      <w:r>
        <w:t>debris to obtain</w:t>
      </w:r>
      <w:r w:rsidR="004827B2" w:rsidRPr="004827B2">
        <w:t xml:space="preserve"> furans</w:t>
      </w:r>
      <w:r w:rsidR="00E82C4B">
        <w:t xml:space="preserve"> and </w:t>
      </w:r>
      <w:proofErr w:type="gramStart"/>
      <w:r w:rsidR="00E82C4B">
        <w:t>analysis</w:t>
      </w:r>
      <w:proofErr w:type="gramEnd"/>
    </w:p>
    <w:p w14:paraId="51006CDD" w14:textId="13F75334" w:rsidR="004A2992" w:rsidRPr="00BC3532" w:rsidRDefault="001A4EAC" w:rsidP="00BC3532">
      <w:pPr>
        <w:pStyle w:val="CETBodytext"/>
        <w:rPr>
          <w:lang w:val="en-GB"/>
        </w:rPr>
      </w:pPr>
      <w:r>
        <w:rPr>
          <w:lang w:val="en-GB"/>
        </w:rPr>
        <w:t>A</w:t>
      </w:r>
      <w:r w:rsidR="004827B2" w:rsidRPr="004827B2">
        <w:rPr>
          <w:lang w:val="en-GB"/>
        </w:rPr>
        <w:t xml:space="preserve"> stainless-steel autoclave </w:t>
      </w:r>
      <w:r w:rsidRPr="001A4EAC">
        <w:rPr>
          <w:lang w:val="en-GB"/>
        </w:rPr>
        <w:t>(</w:t>
      </w:r>
      <w:proofErr w:type="spellStart"/>
      <w:r w:rsidRPr="001A4EAC">
        <w:rPr>
          <w:lang w:val="en-GB"/>
        </w:rPr>
        <w:t>Tefic</w:t>
      </w:r>
      <w:proofErr w:type="spellEnd"/>
      <w:r w:rsidRPr="001A4EAC">
        <w:rPr>
          <w:lang w:val="en-GB"/>
        </w:rPr>
        <w:t xml:space="preserve"> Biotech Co. Limited, Xi’an, China) </w:t>
      </w:r>
      <w:r w:rsidR="004827B2" w:rsidRPr="004827B2">
        <w:rPr>
          <w:lang w:val="en-GB"/>
        </w:rPr>
        <w:t xml:space="preserve">was used as reactor </w:t>
      </w:r>
      <w:r w:rsidR="000F4704">
        <w:rPr>
          <w:lang w:val="en-GB"/>
        </w:rPr>
        <w:t>to</w:t>
      </w:r>
      <w:r>
        <w:rPr>
          <w:lang w:val="en-GB"/>
        </w:rPr>
        <w:t xml:space="preserve"> perform the </w:t>
      </w:r>
      <w:proofErr w:type="spellStart"/>
      <w:r>
        <w:rPr>
          <w:lang w:val="en-GB"/>
        </w:rPr>
        <w:t>catalysi</w:t>
      </w:r>
      <w:r w:rsidR="00B029B4">
        <w:rPr>
          <w:lang w:val="en-GB"/>
        </w:rPr>
        <w:t>c</w:t>
      </w:r>
      <w:proofErr w:type="spellEnd"/>
      <w:r w:rsidR="00B029B4">
        <w:rPr>
          <w:lang w:val="en-GB"/>
        </w:rPr>
        <w:t xml:space="preserve"> process</w:t>
      </w:r>
      <w:r w:rsidR="004827B2" w:rsidRPr="004827B2">
        <w:rPr>
          <w:lang w:val="en-GB"/>
        </w:rPr>
        <w:t>. In</w:t>
      </w:r>
      <w:r>
        <w:rPr>
          <w:lang w:val="en-GB"/>
        </w:rPr>
        <w:t xml:space="preserve">side the reactor, a </w:t>
      </w:r>
      <w:r w:rsidRPr="001A4EAC">
        <w:rPr>
          <w:lang w:val="en-GB"/>
        </w:rPr>
        <w:t>50</w:t>
      </w:r>
      <w:r w:rsidR="000F4704">
        <w:rPr>
          <w:lang w:val="en-GB"/>
        </w:rPr>
        <w:t>-</w:t>
      </w:r>
      <w:r w:rsidRPr="001A4EAC">
        <w:rPr>
          <w:lang w:val="en-GB"/>
        </w:rPr>
        <w:t>mL PTFE chamber</w:t>
      </w:r>
      <w:r w:rsidR="004827B2" w:rsidRPr="004827B2">
        <w:rPr>
          <w:lang w:val="en-GB"/>
        </w:rPr>
        <w:t xml:space="preserve"> </w:t>
      </w:r>
      <w:r w:rsidR="000F4704">
        <w:rPr>
          <w:lang w:val="en-GB"/>
        </w:rPr>
        <w:t xml:space="preserve">was placed, </w:t>
      </w:r>
      <w:r>
        <w:rPr>
          <w:lang w:val="en-GB"/>
        </w:rPr>
        <w:t>in which, in a typical experiment,</w:t>
      </w:r>
      <w:r w:rsidR="004827B2" w:rsidRPr="004827B2">
        <w:rPr>
          <w:lang w:val="en-GB"/>
        </w:rPr>
        <w:t xml:space="preserve"> 24 mL of </w:t>
      </w:r>
      <w:r w:rsidR="00B029B4">
        <w:rPr>
          <w:lang w:val="en-GB"/>
        </w:rPr>
        <w:t xml:space="preserve">water and 40 mg </w:t>
      </w:r>
      <w:r>
        <w:rPr>
          <w:lang w:val="en-GB"/>
        </w:rPr>
        <w:t xml:space="preserve">algal </w:t>
      </w:r>
      <w:r w:rsidR="004A089C">
        <w:rPr>
          <w:lang w:val="en-GB"/>
        </w:rPr>
        <w:t xml:space="preserve">de-fatted biomass </w:t>
      </w:r>
      <w:r w:rsidR="00B029B4">
        <w:rPr>
          <w:lang w:val="en-GB"/>
        </w:rPr>
        <w:t xml:space="preserve">(dried cellular debris, see section 2.2) </w:t>
      </w:r>
      <w:r w:rsidR="004827B2" w:rsidRPr="004827B2">
        <w:rPr>
          <w:lang w:val="en-GB"/>
        </w:rPr>
        <w:t>were placed. The heterogeneous catalytic reactions were carried out in the presence of commercial powder</w:t>
      </w:r>
      <w:r w:rsidR="001165AC">
        <w:rPr>
          <w:lang w:val="en-GB"/>
        </w:rPr>
        <w:t xml:space="preserve"> </w:t>
      </w:r>
      <w:r w:rsidR="004827B2" w:rsidRPr="004827B2">
        <w:rPr>
          <w:lang w:val="en-GB"/>
        </w:rPr>
        <w:t>o</w:t>
      </w:r>
      <w:r w:rsidR="001165AC">
        <w:rPr>
          <w:lang w:val="en-GB"/>
        </w:rPr>
        <w:t>f</w:t>
      </w:r>
      <w:r w:rsidR="004827B2" w:rsidRPr="004827B2">
        <w:rPr>
          <w:lang w:val="en-GB"/>
        </w:rPr>
        <w:t xml:space="preserve"> NbOPO</w:t>
      </w:r>
      <w:r w:rsidR="004827B2" w:rsidRPr="001165AC">
        <w:rPr>
          <w:vertAlign w:val="subscript"/>
          <w:lang w:val="en-GB"/>
        </w:rPr>
        <w:t>4</w:t>
      </w:r>
      <w:r w:rsidR="004827B2" w:rsidRPr="004827B2">
        <w:rPr>
          <w:lang w:val="en-GB"/>
        </w:rPr>
        <w:t>·nH</w:t>
      </w:r>
      <w:r w:rsidR="004827B2" w:rsidRPr="001165AC">
        <w:rPr>
          <w:vertAlign w:val="subscript"/>
          <w:lang w:val="en-GB"/>
        </w:rPr>
        <w:t>2</w:t>
      </w:r>
      <w:r w:rsidR="004827B2" w:rsidRPr="004827B2">
        <w:rPr>
          <w:lang w:val="en-GB"/>
        </w:rPr>
        <w:t xml:space="preserve">O provided from </w:t>
      </w:r>
      <w:proofErr w:type="spellStart"/>
      <w:r w:rsidR="004827B2" w:rsidRPr="002369C4">
        <w:rPr>
          <w:lang w:val="en-GB"/>
        </w:rPr>
        <w:t>Companhia</w:t>
      </w:r>
      <w:proofErr w:type="spellEnd"/>
      <w:r w:rsidR="004827B2" w:rsidRPr="002369C4">
        <w:rPr>
          <w:lang w:val="en-GB"/>
        </w:rPr>
        <w:t xml:space="preserve"> </w:t>
      </w:r>
      <w:proofErr w:type="spellStart"/>
      <w:r w:rsidR="004827B2" w:rsidRPr="002369C4">
        <w:rPr>
          <w:lang w:val="en-GB"/>
        </w:rPr>
        <w:t>Brasileira</w:t>
      </w:r>
      <w:proofErr w:type="spellEnd"/>
      <w:r w:rsidR="004827B2" w:rsidRPr="002369C4">
        <w:rPr>
          <w:lang w:val="en-GB"/>
        </w:rPr>
        <w:t xml:space="preserve"> de </w:t>
      </w:r>
      <w:proofErr w:type="spellStart"/>
      <w:r w:rsidR="004827B2" w:rsidRPr="002369C4">
        <w:rPr>
          <w:lang w:val="en-GB"/>
        </w:rPr>
        <w:t>Metalurgia</w:t>
      </w:r>
      <w:proofErr w:type="spellEnd"/>
      <w:r w:rsidR="004827B2" w:rsidRPr="002369C4">
        <w:rPr>
          <w:lang w:val="en-GB"/>
        </w:rPr>
        <w:t xml:space="preserve"> e </w:t>
      </w:r>
      <w:proofErr w:type="spellStart"/>
      <w:r w:rsidR="004827B2" w:rsidRPr="002369C4">
        <w:rPr>
          <w:lang w:val="en-GB"/>
        </w:rPr>
        <w:t>Mineração</w:t>
      </w:r>
      <w:proofErr w:type="spellEnd"/>
      <w:r w:rsidR="004827B2" w:rsidRPr="002369C4">
        <w:rPr>
          <w:lang w:val="en-GB"/>
        </w:rPr>
        <w:t xml:space="preserve"> (CBMM) and used </w:t>
      </w:r>
      <w:r w:rsidR="002369C4" w:rsidRPr="002369C4">
        <w:rPr>
          <w:lang w:val="en-GB"/>
        </w:rPr>
        <w:t>without further treatments</w:t>
      </w:r>
      <w:r w:rsidR="004827B2" w:rsidRPr="002369C4">
        <w:rPr>
          <w:lang w:val="en-GB"/>
        </w:rPr>
        <w:t xml:space="preserve">. </w:t>
      </w:r>
      <w:r w:rsidR="002369C4" w:rsidRPr="002369C4">
        <w:rPr>
          <w:lang w:val="en-GB"/>
        </w:rPr>
        <w:t xml:space="preserve">The reactor </w:t>
      </w:r>
      <w:r w:rsidR="00B029B4">
        <w:rPr>
          <w:lang w:val="en-GB"/>
        </w:rPr>
        <w:t>wa</w:t>
      </w:r>
      <w:r w:rsidR="002369C4" w:rsidRPr="002369C4">
        <w:rPr>
          <w:lang w:val="en-GB"/>
        </w:rPr>
        <w:t xml:space="preserve">s placed in an oil bath set at a </w:t>
      </w:r>
      <w:r w:rsidR="00B029B4">
        <w:rPr>
          <w:lang w:val="en-GB"/>
        </w:rPr>
        <w:t>fixed</w:t>
      </w:r>
      <w:r w:rsidR="002369C4" w:rsidRPr="002369C4">
        <w:rPr>
          <w:lang w:val="en-GB"/>
        </w:rPr>
        <w:t xml:space="preserve"> temperature and </w:t>
      </w:r>
      <w:r w:rsidR="00B029B4">
        <w:rPr>
          <w:lang w:val="en-GB"/>
        </w:rPr>
        <w:t>magnetically stirred</w:t>
      </w:r>
      <w:r w:rsidR="002369C4" w:rsidRPr="002369C4">
        <w:rPr>
          <w:lang w:val="en-GB"/>
        </w:rPr>
        <w:t xml:space="preserve"> (LLG-</w:t>
      </w:r>
      <w:proofErr w:type="spellStart"/>
      <w:r w:rsidR="002369C4" w:rsidRPr="002369C4">
        <w:rPr>
          <w:lang w:val="en-GB"/>
        </w:rPr>
        <w:t>uniSTIRRER</w:t>
      </w:r>
      <w:proofErr w:type="spellEnd"/>
      <w:r w:rsidR="002369C4" w:rsidRPr="002369C4">
        <w:rPr>
          <w:lang w:val="en-GB"/>
        </w:rPr>
        <w:t xml:space="preserve"> 7). V</w:t>
      </w:r>
      <w:r w:rsidR="004827B2" w:rsidRPr="002369C4">
        <w:rPr>
          <w:lang w:val="en-GB"/>
        </w:rPr>
        <w:t xml:space="preserve">ariables </w:t>
      </w:r>
      <w:r w:rsidR="00541022">
        <w:rPr>
          <w:lang w:val="en-GB"/>
        </w:rPr>
        <w:t xml:space="preserve">studied </w:t>
      </w:r>
      <w:r w:rsidR="004827B2" w:rsidRPr="002369C4">
        <w:rPr>
          <w:lang w:val="en-GB"/>
        </w:rPr>
        <w:t xml:space="preserve">were the </w:t>
      </w:r>
      <w:r w:rsidR="004A089C" w:rsidRPr="002369C4">
        <w:rPr>
          <w:lang w:val="en-GB"/>
        </w:rPr>
        <w:t>pretreatment of the biomass,</w:t>
      </w:r>
      <w:r w:rsidR="00500AB0">
        <w:rPr>
          <w:lang w:val="en-GB"/>
        </w:rPr>
        <w:t xml:space="preserve"> </w:t>
      </w:r>
      <w:r w:rsidR="004827B2" w:rsidRPr="002369C4">
        <w:rPr>
          <w:lang w:val="en-GB"/>
        </w:rPr>
        <w:t>reaction temperature</w:t>
      </w:r>
      <w:r w:rsidR="00500AB0">
        <w:rPr>
          <w:lang w:val="en-GB"/>
        </w:rPr>
        <w:t xml:space="preserve"> and </w:t>
      </w:r>
      <w:r w:rsidR="004827B2" w:rsidRPr="002369C4">
        <w:rPr>
          <w:lang w:val="en-GB"/>
        </w:rPr>
        <w:t xml:space="preserve">mass ratio catalyst/biomass. </w:t>
      </w:r>
      <w:r w:rsidR="004827B2" w:rsidRPr="004827B2">
        <w:rPr>
          <w:lang w:val="en-GB"/>
        </w:rPr>
        <w:t xml:space="preserve">After the </w:t>
      </w:r>
      <w:r w:rsidR="002369C4">
        <w:rPr>
          <w:lang w:val="en-GB"/>
        </w:rPr>
        <w:t>experiments</w:t>
      </w:r>
      <w:r w:rsidR="004827B2" w:rsidRPr="004827B2">
        <w:rPr>
          <w:lang w:val="en-GB"/>
        </w:rPr>
        <w:t xml:space="preserve">, aliquots </w:t>
      </w:r>
      <w:r w:rsidR="002369C4">
        <w:rPr>
          <w:lang w:val="en-GB"/>
        </w:rPr>
        <w:t xml:space="preserve">of each batch </w:t>
      </w:r>
      <w:r w:rsidR="004827B2" w:rsidRPr="004827B2">
        <w:rPr>
          <w:lang w:val="en-GB"/>
        </w:rPr>
        <w:t>were filtered and 5-HMF</w:t>
      </w:r>
      <w:r w:rsidR="002369C4">
        <w:rPr>
          <w:lang w:val="en-GB"/>
        </w:rPr>
        <w:t xml:space="preserve"> </w:t>
      </w:r>
      <w:r w:rsidR="004827B2" w:rsidRPr="004827B2">
        <w:rPr>
          <w:lang w:val="en-GB"/>
        </w:rPr>
        <w:t>w</w:t>
      </w:r>
      <w:r w:rsidR="002369C4">
        <w:rPr>
          <w:lang w:val="en-GB"/>
        </w:rPr>
        <w:t>as</w:t>
      </w:r>
      <w:r w:rsidR="004827B2" w:rsidRPr="004827B2">
        <w:rPr>
          <w:lang w:val="en-GB"/>
        </w:rPr>
        <w:t xml:space="preserve"> analyzed </w:t>
      </w:r>
      <w:r w:rsidR="00B029B4">
        <w:rPr>
          <w:lang w:val="en-GB"/>
        </w:rPr>
        <w:t>using a</w:t>
      </w:r>
      <w:r w:rsidR="004827B2" w:rsidRPr="004827B2">
        <w:rPr>
          <w:lang w:val="en-GB"/>
        </w:rPr>
        <w:t xml:space="preserve"> HPLC </w:t>
      </w:r>
      <w:proofErr w:type="spellStart"/>
      <w:r w:rsidR="002369C4" w:rsidRPr="001A4EAC">
        <w:rPr>
          <w:lang w:val="en-GB"/>
        </w:rPr>
        <w:t>Dionex</w:t>
      </w:r>
      <w:proofErr w:type="spellEnd"/>
      <w:r w:rsidR="002369C4" w:rsidRPr="001A4EAC">
        <w:rPr>
          <w:lang w:val="en-GB"/>
        </w:rPr>
        <w:t xml:space="preserve"> </w:t>
      </w:r>
      <w:proofErr w:type="spellStart"/>
      <w:r w:rsidR="002369C4" w:rsidRPr="001A4EAC">
        <w:rPr>
          <w:lang w:val="en-GB"/>
        </w:rPr>
        <w:t>UltiMate</w:t>
      </w:r>
      <w:proofErr w:type="spellEnd"/>
      <w:r w:rsidR="002369C4" w:rsidRPr="001A4EAC">
        <w:rPr>
          <w:lang w:val="en-GB"/>
        </w:rPr>
        <w:t xml:space="preserve"> 3000 equipped with a column </w:t>
      </w:r>
      <w:proofErr w:type="spellStart"/>
      <w:r w:rsidR="002369C4" w:rsidRPr="001A4EAC">
        <w:rPr>
          <w:lang w:val="en-GB"/>
        </w:rPr>
        <w:t>Rezex</w:t>
      </w:r>
      <w:proofErr w:type="spellEnd"/>
      <w:r w:rsidR="002369C4" w:rsidRPr="001A4EAC">
        <w:rPr>
          <w:lang w:val="en-GB"/>
        </w:rPr>
        <w:t xml:space="preserve"> ROA-Organic acid H+ operating at 60 °C and using 0.6 mL·min</w:t>
      </w:r>
      <w:r w:rsidR="002369C4" w:rsidRPr="00B029B4">
        <w:rPr>
          <w:vertAlign w:val="superscript"/>
          <w:lang w:val="en-GB"/>
        </w:rPr>
        <w:t>-1</w:t>
      </w:r>
      <w:r w:rsidR="002369C4" w:rsidRPr="001A4EAC">
        <w:rPr>
          <w:lang w:val="en-GB"/>
        </w:rPr>
        <w:t xml:space="preserve"> of a 5 mM H</w:t>
      </w:r>
      <w:r w:rsidR="002369C4" w:rsidRPr="002369C4">
        <w:rPr>
          <w:vertAlign w:val="subscript"/>
          <w:lang w:val="en-GB"/>
        </w:rPr>
        <w:t>2</w:t>
      </w:r>
      <w:r w:rsidR="002369C4" w:rsidRPr="001A4EAC">
        <w:rPr>
          <w:lang w:val="en-GB"/>
        </w:rPr>
        <w:t>SO</w:t>
      </w:r>
      <w:r w:rsidR="002369C4" w:rsidRPr="002369C4">
        <w:rPr>
          <w:vertAlign w:val="subscript"/>
          <w:lang w:val="en-GB"/>
        </w:rPr>
        <w:t>4</w:t>
      </w:r>
      <w:r w:rsidR="002369C4" w:rsidRPr="001A4EAC">
        <w:rPr>
          <w:lang w:val="en-GB"/>
        </w:rPr>
        <w:t xml:space="preserve"> aqueous solution as eluent.</w:t>
      </w:r>
    </w:p>
    <w:p w14:paraId="50E1BFBB" w14:textId="7EEC8B55" w:rsidR="00C64885" w:rsidRDefault="00C64885" w:rsidP="00C64885">
      <w:pPr>
        <w:pStyle w:val="CETHeading1"/>
      </w:pPr>
      <w:r>
        <w:t>Results and discussion</w:t>
      </w:r>
    </w:p>
    <w:p w14:paraId="7D56DED2" w14:textId="15E33912" w:rsidR="00EF44B2" w:rsidRDefault="00D621CE" w:rsidP="00EF44B2">
      <w:pPr>
        <w:pStyle w:val="CETBodytext"/>
      </w:pPr>
      <w:r>
        <w:t>In Figure 1, a typical growth c</w:t>
      </w:r>
      <w:r w:rsidR="00E047E5">
        <w:t>urve is shown</w:t>
      </w:r>
      <w:r w:rsidR="00B029B4">
        <w:t xml:space="preserve"> as</w:t>
      </w:r>
      <w:r w:rsidR="00E047E5">
        <w:t xml:space="preserve"> the variation of cell concentration in g L</w:t>
      </w:r>
      <w:r w:rsidR="00E047E5" w:rsidRPr="00E047E5">
        <w:rPr>
          <w:vertAlign w:val="superscript"/>
        </w:rPr>
        <w:t>-1</w:t>
      </w:r>
      <w:r w:rsidR="00E047E5">
        <w:t xml:space="preserve"> o</w:t>
      </w:r>
      <w:r w:rsidR="008A28AF">
        <w:t>ver</w:t>
      </w:r>
      <w:r w:rsidR="00E047E5">
        <w:t xml:space="preserve"> time. </w:t>
      </w:r>
      <w:r w:rsidR="00126DA8">
        <w:t xml:space="preserve">The culture </w:t>
      </w:r>
      <w:r w:rsidR="00B029B4">
        <w:t>displayed</w:t>
      </w:r>
      <w:r w:rsidR="00126DA8">
        <w:t xml:space="preserve"> the typical lag and exponential phase, followed by the start of the stationary phase. At this point, each culture was harvested to avoid change of composition due to the starvation of nutrients</w:t>
      </w:r>
      <w:r w:rsidR="00B91A3E">
        <w:t>, naturally occurring during the stationary phase.</w:t>
      </w:r>
      <w:r w:rsidR="00EF44B2" w:rsidRPr="00EF44B2">
        <w:t xml:space="preserve"> </w:t>
      </w:r>
    </w:p>
    <w:p w14:paraId="115F92E3" w14:textId="68811489" w:rsidR="00EF44B2" w:rsidRDefault="00EF44B2" w:rsidP="00EF44B2">
      <w:pPr>
        <w:pStyle w:val="CETBodytext"/>
      </w:pPr>
      <w:r>
        <w:t>After the cultivation, the biomass was collected and lyophilized. Due to its high energy-requirements, lyophilization is performed only to optimally preserve the biomass and to have a correct quantification of the employed sample for the experiment. In view of an industrial or semi-industrial process aimed at the biorefining of the microalgal biomass, lyophilization may be avoided and the process may be applied directly on the wet biomass</w:t>
      </w:r>
      <w:r w:rsidR="00476C5D">
        <w:t xml:space="preserve"> by obtaining the same result (data not shown)</w:t>
      </w:r>
      <w:r>
        <w:t>.</w:t>
      </w:r>
    </w:p>
    <w:p w14:paraId="1A92DC2B" w14:textId="5D1BF4A9" w:rsidR="00EF44B2" w:rsidRPr="007C28EA" w:rsidRDefault="00EF44B2" w:rsidP="00EF44B2">
      <w:pPr>
        <w:pStyle w:val="CETBodytext"/>
      </w:pPr>
      <w:r w:rsidRPr="007C28EA">
        <w:t xml:space="preserve">Samples of the dried biomass were analyzed for the qualitative and quantitative content in FA. The results are reported as FAME content. </w:t>
      </w:r>
      <w:r w:rsidRPr="007C28EA">
        <w:rPr>
          <w:rStyle w:val="cf01"/>
          <w:rFonts w:ascii="Arial" w:hAnsi="Arial" w:cs="Times New Roman"/>
          <w:szCs w:val="20"/>
        </w:rPr>
        <w:t xml:space="preserve">Results, reported in Figure 2, showed that in the microalgal biomass there was a </w:t>
      </w:r>
      <w:r w:rsidRPr="007C28EA">
        <w:rPr>
          <w:rStyle w:val="cf01"/>
          <w:rFonts w:ascii="Arial" w:hAnsi="Arial" w:cs="Times New Roman"/>
          <w:szCs w:val="20"/>
        </w:rPr>
        <w:lastRenderedPageBreak/>
        <w:t xml:space="preserve">predominance of poly unsaturated FAs, and only C16:0, palmitic acid, had a high content, compared to other </w:t>
      </w:r>
      <w:r w:rsidR="00B029B4">
        <w:rPr>
          <w:rStyle w:val="cf01"/>
          <w:rFonts w:ascii="Arial" w:hAnsi="Arial" w:cs="Times New Roman"/>
          <w:szCs w:val="20"/>
        </w:rPr>
        <w:t xml:space="preserve">both </w:t>
      </w:r>
      <w:r w:rsidRPr="007C28EA">
        <w:rPr>
          <w:rStyle w:val="cf01"/>
          <w:rFonts w:ascii="Arial" w:hAnsi="Arial" w:cs="Times New Roman"/>
          <w:szCs w:val="20"/>
        </w:rPr>
        <w:t xml:space="preserve">saturated and monounsaturated FAs. </w:t>
      </w:r>
      <w:proofErr w:type="gramStart"/>
      <w:r w:rsidRPr="007C28EA">
        <w:rPr>
          <w:rStyle w:val="cf01"/>
          <w:rFonts w:ascii="Arial" w:hAnsi="Arial" w:cs="Times New Roman"/>
          <w:szCs w:val="20"/>
        </w:rPr>
        <w:t>In particular, amongst</w:t>
      </w:r>
      <w:proofErr w:type="gramEnd"/>
      <w:r w:rsidRPr="007C28EA">
        <w:rPr>
          <w:rStyle w:val="cf01"/>
          <w:rFonts w:ascii="Arial" w:hAnsi="Arial" w:cs="Times New Roman"/>
          <w:szCs w:val="20"/>
        </w:rPr>
        <w:t xml:space="preserve"> polyunsaturated FAs, C18:3n3 linolenic acid and C18:2n6 linoleic acid were the most abundant.</w:t>
      </w:r>
    </w:p>
    <w:p w14:paraId="53AA2E98" w14:textId="0F151EF6" w:rsidR="00BC3532" w:rsidRPr="00D621CE" w:rsidRDefault="00BC3532" w:rsidP="00BC3532">
      <w:pPr>
        <w:pStyle w:val="CETBodytext"/>
      </w:pPr>
    </w:p>
    <w:p w14:paraId="38BB1C72" w14:textId="714EE80F" w:rsidR="00C64885" w:rsidRDefault="0061411F" w:rsidP="0087209C">
      <w:pPr>
        <w:pStyle w:val="CETBodytext"/>
        <w:keepNext/>
        <w:rPr>
          <w:rStyle w:val="CETCaptionCarattere"/>
        </w:rPr>
      </w:pPr>
      <w:r>
        <w:rPr>
          <w:noProof/>
          <w:lang w:val="it-IT" w:eastAsia="it-IT"/>
        </w:rPr>
        <w:drawing>
          <wp:inline distT="0" distB="0" distL="0" distR="0" wp14:anchorId="62FBA227" wp14:editId="46B2343F">
            <wp:extent cx="5727032" cy="3272590"/>
            <wp:effectExtent l="0" t="0" r="7620" b="4445"/>
            <wp:docPr id="1" name="Grafico 1">
              <a:extLst xmlns:a="http://schemas.openxmlformats.org/drawingml/2006/main">
                <a:ext uri="{FF2B5EF4-FFF2-40B4-BE49-F238E27FC236}">
                  <a16:creationId xmlns:a16="http://schemas.microsoft.com/office/drawing/2014/main" id="{00000000-0008-0000-06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00E90096" w:rsidRPr="0087209C">
        <w:rPr>
          <w:rStyle w:val="CETCaptionCarattere"/>
        </w:rPr>
        <w:t xml:space="preserve">Figure </w:t>
      </w:r>
      <w:r w:rsidR="00E90096" w:rsidRPr="0087209C">
        <w:rPr>
          <w:rStyle w:val="CETCaptionCarattere"/>
        </w:rPr>
        <w:fldChar w:fldCharType="begin"/>
      </w:r>
      <w:r w:rsidR="00E90096" w:rsidRPr="0087209C">
        <w:rPr>
          <w:rStyle w:val="CETCaptionCarattere"/>
        </w:rPr>
        <w:instrText xml:space="preserve"> SEQ Figure \* ARABIC </w:instrText>
      </w:r>
      <w:r w:rsidR="00E90096" w:rsidRPr="0087209C">
        <w:rPr>
          <w:rStyle w:val="CETCaptionCarattere"/>
        </w:rPr>
        <w:fldChar w:fldCharType="separate"/>
      </w:r>
      <w:r w:rsidR="0056773A" w:rsidRPr="0087209C">
        <w:rPr>
          <w:rStyle w:val="CETCaptionCarattere"/>
        </w:rPr>
        <w:t>1</w:t>
      </w:r>
      <w:r w:rsidR="00E90096" w:rsidRPr="0087209C">
        <w:rPr>
          <w:rStyle w:val="CETCaptionCarattere"/>
        </w:rPr>
        <w:fldChar w:fldCharType="end"/>
      </w:r>
      <w:r w:rsidR="00126DA8" w:rsidRPr="0087209C">
        <w:rPr>
          <w:rStyle w:val="CETCaptionCarattere"/>
        </w:rPr>
        <w:t xml:space="preserve">: A typical growth curve of the microalga Chlorella sp. CW2, cultivated in a solution of commercial fertilizer. At the start of the stationary phase, the cultures were </w:t>
      </w:r>
      <w:proofErr w:type="gramStart"/>
      <w:r w:rsidR="00126DA8" w:rsidRPr="0087209C">
        <w:rPr>
          <w:rStyle w:val="CETCaptionCarattere"/>
        </w:rPr>
        <w:t>harvested</w:t>
      </w:r>
      <w:proofErr w:type="gramEnd"/>
      <w:r w:rsidR="00126DA8" w:rsidRPr="0087209C">
        <w:rPr>
          <w:rStyle w:val="CETCaptionCarattere"/>
        </w:rPr>
        <w:t xml:space="preserve"> and the biomass collected by centrifugation. </w:t>
      </w:r>
    </w:p>
    <w:p w14:paraId="7B297CA2" w14:textId="77777777" w:rsidR="008A28AF" w:rsidRPr="0087209C" w:rsidRDefault="008A28AF" w:rsidP="0087209C">
      <w:pPr>
        <w:pStyle w:val="CETBodytext"/>
        <w:keepNext/>
        <w:rPr>
          <w:rStyle w:val="CETCaptionCarattere"/>
        </w:rPr>
      </w:pPr>
    </w:p>
    <w:p w14:paraId="74D8CB44" w14:textId="77777777" w:rsidR="00804F17" w:rsidRDefault="00874FDF" w:rsidP="00804F17">
      <w:pPr>
        <w:pStyle w:val="CETBodytext"/>
        <w:keepNext/>
      </w:pPr>
      <w:r>
        <w:rPr>
          <w:noProof/>
          <w:lang w:val="it-IT" w:eastAsia="it-IT"/>
        </w:rPr>
        <w:drawing>
          <wp:inline distT="0" distB="0" distL="0" distR="0" wp14:anchorId="59C0A6E6" wp14:editId="5E222965">
            <wp:extent cx="5586730" cy="2983831"/>
            <wp:effectExtent l="0" t="0" r="0" b="7620"/>
            <wp:docPr id="3" name="Grafico 3">
              <a:extLst xmlns:a="http://schemas.openxmlformats.org/drawingml/2006/main">
                <a:ext uri="{FF2B5EF4-FFF2-40B4-BE49-F238E27FC236}">
                  <a16:creationId xmlns:a16="http://schemas.microsoft.com/office/drawing/2014/main" id="{DE1E3B2E-9D20-4575-8EEA-E3AD24451E2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3B6CA87E" w14:textId="528CA8B0" w:rsidR="0087209C" w:rsidRDefault="00804F17" w:rsidP="0087209C">
      <w:pPr>
        <w:pStyle w:val="CETCaption"/>
      </w:pPr>
      <w:r>
        <w:t xml:space="preserve">Figure </w:t>
      </w:r>
      <w:r>
        <w:fldChar w:fldCharType="begin"/>
      </w:r>
      <w:r>
        <w:instrText xml:space="preserve"> SEQ Figure \* ARABIC </w:instrText>
      </w:r>
      <w:r>
        <w:fldChar w:fldCharType="separate"/>
      </w:r>
      <w:r w:rsidR="0056773A">
        <w:rPr>
          <w:noProof/>
        </w:rPr>
        <w:t>2</w:t>
      </w:r>
      <w:r>
        <w:fldChar w:fldCharType="end"/>
      </w:r>
      <w:r w:rsidR="006307C6">
        <w:t>: Fatty acid content of the microalgal cells of Chlorella sp. CW2. FAME stands for fatty acid methyl esters.</w:t>
      </w:r>
      <w:r w:rsidR="0078421D">
        <w:t xml:space="preserve"> </w:t>
      </w:r>
      <w:r w:rsidR="00541022">
        <w:t>S</w:t>
      </w:r>
      <w:r w:rsidR="0078421D">
        <w:t>tandard deviation is reported as error bar.</w:t>
      </w:r>
    </w:p>
    <w:p w14:paraId="78ECD17C" w14:textId="0A4C0295" w:rsidR="00A0124B" w:rsidRPr="00A0124B" w:rsidRDefault="00A0124B" w:rsidP="0087209C">
      <w:pPr>
        <w:pStyle w:val="CETBodytext"/>
      </w:pPr>
      <w:r>
        <w:t xml:space="preserve">The results </w:t>
      </w:r>
      <w:r w:rsidR="006E1C2E">
        <w:t xml:space="preserve">revealed </w:t>
      </w:r>
      <w:r>
        <w:t xml:space="preserve">the presence of substrates for the </w:t>
      </w:r>
      <w:r w:rsidR="00876584">
        <w:t>o</w:t>
      </w:r>
      <w:r>
        <w:t xml:space="preserve">leate hydratase employed </w:t>
      </w:r>
      <w:proofErr w:type="gramStart"/>
      <w:r>
        <w:t>for the production of</w:t>
      </w:r>
      <w:proofErr w:type="gramEnd"/>
      <w:r>
        <w:t xml:space="preserve"> 10-hydroxy fatty acids. </w:t>
      </w:r>
      <w:r w:rsidRPr="00A0124B">
        <w:t xml:space="preserve">These enzymes </w:t>
      </w:r>
      <w:proofErr w:type="gramStart"/>
      <w:r w:rsidRPr="00A0124B">
        <w:t>are able to</w:t>
      </w:r>
      <w:proofErr w:type="gramEnd"/>
      <w:r w:rsidRPr="00A0124B">
        <w:t xml:space="preserve"> introduce a water molecule to the </w:t>
      </w:r>
      <w:r w:rsidR="006E1C2E">
        <w:rPr>
          <w:lang w:val="el-GR"/>
        </w:rPr>
        <w:t>Δ</w:t>
      </w:r>
      <w:r w:rsidR="006E1C2E" w:rsidRPr="007C28EA">
        <w:t xml:space="preserve">9 </w:t>
      </w:r>
      <w:r w:rsidRPr="00A0124B">
        <w:t xml:space="preserve">double bond present in </w:t>
      </w:r>
      <w:r w:rsidR="006E1C2E">
        <w:t>unsaturated fatty acids</w:t>
      </w:r>
      <w:r w:rsidRPr="00A0124B">
        <w:t>, producing 10-hydroxy fatty acids (10-hydroxy-FAs) (</w:t>
      </w:r>
      <w:proofErr w:type="spellStart"/>
      <w:r w:rsidRPr="00A0124B">
        <w:t>Engleder</w:t>
      </w:r>
      <w:proofErr w:type="spellEnd"/>
      <w:r w:rsidRPr="00A0124B">
        <w:t xml:space="preserve"> et al., 2015)</w:t>
      </w:r>
      <w:r>
        <w:t xml:space="preserve">. </w:t>
      </w:r>
      <w:r w:rsidR="00F342FA">
        <w:t xml:space="preserve">Although the </w:t>
      </w:r>
      <w:r w:rsidR="00F342FA">
        <w:lastRenderedPageBreak/>
        <w:t xml:space="preserve">enzyme may use </w:t>
      </w:r>
      <w:r w:rsidR="006E1C2E">
        <w:t>different</w:t>
      </w:r>
      <w:r w:rsidR="00F342FA">
        <w:t xml:space="preserve"> FFA</w:t>
      </w:r>
      <w:r w:rsidR="006E1C2E">
        <w:t>s</w:t>
      </w:r>
      <w:r w:rsidR="00F342FA">
        <w:t xml:space="preserve"> as substrates, it has a high specificity for the oleic acid, and therefore in this work it was considered as a marker for the biotransformation reaction. </w:t>
      </w:r>
      <w:r>
        <w:t xml:space="preserve">Considering that the enzyme </w:t>
      </w:r>
      <w:proofErr w:type="gramStart"/>
      <w:r w:rsidR="00F1532F">
        <w:t>is able to</w:t>
      </w:r>
      <w:proofErr w:type="gramEnd"/>
      <w:r>
        <w:t xml:space="preserve"> catalyze the bioreaction only on FFA</w:t>
      </w:r>
      <w:r w:rsidR="00F1532F">
        <w:t xml:space="preserve"> as substrate</w:t>
      </w:r>
      <w:r>
        <w:t xml:space="preserve">, a preparative step of </w:t>
      </w:r>
      <w:r w:rsidR="006E1C2E">
        <w:t xml:space="preserve">hydrolysis </w:t>
      </w:r>
      <w:r>
        <w:t xml:space="preserve">was performed </w:t>
      </w:r>
      <w:r w:rsidR="008C5BBF">
        <w:t xml:space="preserve">on the extracted </w:t>
      </w:r>
      <w:r w:rsidR="00F1532F">
        <w:t>triglyceride from the microalgal biomass, as described in section 2.2.</w:t>
      </w:r>
      <w:r w:rsidR="00EF6B3D">
        <w:t xml:space="preserve"> The mixture of </w:t>
      </w:r>
      <w:r w:rsidR="006E1C2E">
        <w:t>FFAs</w:t>
      </w:r>
      <w:r w:rsidR="00EF6B3D">
        <w:t xml:space="preserve"> was then employed as substrate for a bio</w:t>
      </w:r>
      <w:r w:rsidR="006E1C2E">
        <w:t xml:space="preserve">catalytic </w:t>
      </w:r>
      <w:r w:rsidR="00EF6B3D">
        <w:t>reaction employing</w:t>
      </w:r>
      <w:r w:rsidR="006E1C2E">
        <w:t xml:space="preserve"> the</w:t>
      </w:r>
      <w:r w:rsidR="00EF6B3D">
        <w:t xml:space="preserve"> whole cells of </w:t>
      </w:r>
      <w:r w:rsidR="00EF6B3D" w:rsidRPr="006307C6">
        <w:rPr>
          <w:i/>
          <w:iCs/>
        </w:rPr>
        <w:t>E. coli</w:t>
      </w:r>
      <w:r w:rsidR="006307C6">
        <w:t xml:space="preserve"> containing the recombinant enzyme </w:t>
      </w:r>
      <w:proofErr w:type="spellStart"/>
      <w:r w:rsidR="006307C6">
        <w:t>Em_OhyA</w:t>
      </w:r>
      <w:proofErr w:type="spellEnd"/>
      <w:r w:rsidR="006307C6">
        <w:t>. To assess the advance</w:t>
      </w:r>
      <w:r w:rsidR="00876584">
        <w:t>ment</w:t>
      </w:r>
      <w:r w:rsidR="006307C6">
        <w:t xml:space="preserve"> of the reaction, the content of C18:1 was used as marker and analy</w:t>
      </w:r>
      <w:r w:rsidR="006E1C2E">
        <w:t>z</w:t>
      </w:r>
      <w:r w:rsidR="006307C6">
        <w:t xml:space="preserve">ed </w:t>
      </w:r>
      <w:r w:rsidR="00D60B6D">
        <w:t>(</w:t>
      </w:r>
      <w:r w:rsidR="008100EF">
        <w:t>as shown in section 2.</w:t>
      </w:r>
      <w:r w:rsidR="00601490">
        <w:t>5</w:t>
      </w:r>
      <w:r w:rsidR="00D60B6D">
        <w:t>)</w:t>
      </w:r>
      <w:r w:rsidR="008100EF">
        <w:t xml:space="preserve"> </w:t>
      </w:r>
      <w:r w:rsidR="006307C6">
        <w:t>after the bio</w:t>
      </w:r>
      <w:r w:rsidR="006E1C2E">
        <w:t xml:space="preserve">catalytic </w:t>
      </w:r>
      <w:r w:rsidR="006307C6">
        <w:t xml:space="preserve">reaction, </w:t>
      </w:r>
      <w:r w:rsidR="006E1C2E">
        <w:t xml:space="preserve">which was </w:t>
      </w:r>
      <w:r w:rsidR="006307C6">
        <w:t xml:space="preserve">conducted for 24 h at 37°C </w:t>
      </w:r>
      <w:r w:rsidR="006E1C2E">
        <w:t xml:space="preserve">and </w:t>
      </w:r>
      <w:r w:rsidR="006307C6">
        <w:t xml:space="preserve">200 </w:t>
      </w:r>
      <w:r w:rsidR="006E1C2E">
        <w:t>rpm</w:t>
      </w:r>
      <w:r w:rsidR="006307C6">
        <w:t xml:space="preserve">. The relative </w:t>
      </w:r>
      <w:r w:rsidR="006E1C2E">
        <w:t xml:space="preserve">consumption </w:t>
      </w:r>
      <w:r w:rsidR="006307C6">
        <w:t xml:space="preserve">compared to a blank reaction </w:t>
      </w:r>
      <w:r w:rsidR="00601490">
        <w:t xml:space="preserve">conducted without catalyst </w:t>
      </w:r>
      <w:r w:rsidR="006307C6">
        <w:t>is shown in Figure 3</w:t>
      </w:r>
      <w:r w:rsidR="008100EF">
        <w:t>, which show</w:t>
      </w:r>
      <w:r w:rsidR="006E1C2E">
        <w:t>ed</w:t>
      </w:r>
      <w:r w:rsidR="008100EF">
        <w:t xml:space="preserve"> </w:t>
      </w:r>
      <w:r w:rsidR="006E1C2E">
        <w:t>a high reduction</w:t>
      </w:r>
      <w:r w:rsidR="008100EF">
        <w:t xml:space="preserve"> of the substrate, correspondent to the 81% of the initial amount. The presence of the desired product was confirmed by </w:t>
      </w:r>
      <w:r w:rsidR="00AB64B4">
        <w:t>HPLC analysis, as described in section 2.</w:t>
      </w:r>
      <w:r w:rsidR="00601490">
        <w:t>5</w:t>
      </w:r>
      <w:r w:rsidR="00AB64B4">
        <w:t xml:space="preserve"> (data not shown).</w:t>
      </w:r>
    </w:p>
    <w:p w14:paraId="7160E693" w14:textId="67752469" w:rsidR="00804F17" w:rsidRDefault="00C94038" w:rsidP="00AB64B4">
      <w:pPr>
        <w:pStyle w:val="CETBodytext"/>
        <w:keepNext/>
        <w:jc w:val="center"/>
      </w:pPr>
      <w:r>
        <w:rPr>
          <w:noProof/>
          <w:lang w:val="it-IT" w:eastAsia="it-IT"/>
        </w:rPr>
        <w:drawing>
          <wp:inline distT="0" distB="0" distL="0" distR="0" wp14:anchorId="1402BEE4" wp14:editId="264BA3D0">
            <wp:extent cx="5422605" cy="2828260"/>
            <wp:effectExtent l="0" t="0" r="6985" b="0"/>
            <wp:docPr id="2" name="Grafico 2">
              <a:extLst xmlns:a="http://schemas.openxmlformats.org/drawingml/2006/main">
                <a:ext uri="{FF2B5EF4-FFF2-40B4-BE49-F238E27FC236}">
                  <a16:creationId xmlns:a16="http://schemas.microsoft.com/office/drawing/2014/main" id="{C80E93EB-E630-443E-2166-943A0184185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1212F36B" w14:textId="4F7716F1" w:rsidR="00874FDF" w:rsidRDefault="00804F17" w:rsidP="00804F17">
      <w:pPr>
        <w:pStyle w:val="CETCaption"/>
      </w:pPr>
      <w:r>
        <w:t xml:space="preserve">Figure </w:t>
      </w:r>
      <w:r>
        <w:fldChar w:fldCharType="begin"/>
      </w:r>
      <w:r>
        <w:instrText xml:space="preserve"> SEQ Figure \* ARABIC </w:instrText>
      </w:r>
      <w:r>
        <w:fldChar w:fldCharType="separate"/>
      </w:r>
      <w:r w:rsidR="0056773A">
        <w:rPr>
          <w:noProof/>
        </w:rPr>
        <w:t>3</w:t>
      </w:r>
      <w:r>
        <w:fldChar w:fldCharType="end"/>
      </w:r>
      <w:r w:rsidR="00AB64B4">
        <w:t>: Relative abatement of the substrate oleic acid after the reaction of biotransformation in 10-hydroxy fatty acid.</w:t>
      </w:r>
    </w:p>
    <w:p w14:paraId="26B7F1A5" w14:textId="1E1EA478" w:rsidR="008712A9" w:rsidRDefault="00601490" w:rsidP="008712A9">
      <w:pPr>
        <w:pStyle w:val="CETBodytext"/>
      </w:pPr>
      <w:r>
        <w:t>As far as the de-fatted biomass is concerned, it</w:t>
      </w:r>
      <w:r w:rsidR="006D0912">
        <w:t xml:space="preserve"> was employed for the catalytic hydrothermal transformation of the </w:t>
      </w:r>
      <w:r w:rsidR="006E1C2E">
        <w:t>carbohydrate content</w:t>
      </w:r>
      <w:r w:rsidR="006D0912">
        <w:t xml:space="preserve"> in 5-HMF</w:t>
      </w:r>
      <w:r w:rsidR="00DF31D7">
        <w:t xml:space="preserve"> in batch reactions</w:t>
      </w:r>
      <w:r w:rsidR="006D0912">
        <w:t xml:space="preserve">. Several reaction conditions were tested, as reported in Table 1. In </w:t>
      </w:r>
      <w:r w:rsidR="00B30C6B">
        <w:t>all the experiment a</w:t>
      </w:r>
      <w:r w:rsidR="000E23E5">
        <w:t xml:space="preserve"> pretreatment, useful to release </w:t>
      </w:r>
      <w:r w:rsidR="006E1C2E">
        <w:t xml:space="preserve">simple </w:t>
      </w:r>
      <w:r w:rsidR="000E23E5">
        <w:t>sugar</w:t>
      </w:r>
      <w:r w:rsidR="006E1C2E">
        <w:t>s</w:t>
      </w:r>
      <w:r w:rsidR="000E23E5">
        <w:t xml:space="preserve"> </w:t>
      </w:r>
      <w:r w:rsidR="006E1C2E">
        <w:t>from</w:t>
      </w:r>
      <w:r w:rsidR="000E23E5">
        <w:t xml:space="preserve"> the biomass, was inserted before the catalytic step, aimed </w:t>
      </w:r>
      <w:r w:rsidR="00B30C6B">
        <w:t xml:space="preserve">instead </w:t>
      </w:r>
      <w:r w:rsidR="000E23E5">
        <w:t xml:space="preserve">to the conversion of </w:t>
      </w:r>
      <w:r w:rsidR="00DF31D7">
        <w:t>hexose</w:t>
      </w:r>
      <w:r w:rsidR="000E23E5">
        <w:t xml:space="preserve"> sugars into 5-HMF. </w:t>
      </w:r>
      <w:r>
        <w:t>Catalytic test in experiments</w:t>
      </w:r>
      <w:r w:rsidR="00DF31D7">
        <w:t xml:space="preserve"> A and B were </w:t>
      </w:r>
      <w:r>
        <w:t>carried out</w:t>
      </w:r>
      <w:r w:rsidR="00DF31D7">
        <w:t xml:space="preserve"> </w:t>
      </w:r>
      <w:r w:rsidR="00B30C6B">
        <w:t>with 40 mg of</w:t>
      </w:r>
      <w:r w:rsidR="00DF31D7">
        <w:t xml:space="preserve"> catalyst at 180°C, while the other reactions</w:t>
      </w:r>
      <w:r w:rsidR="00476C5D">
        <w:t xml:space="preserve"> </w:t>
      </w:r>
      <w:r w:rsidR="00B30C6B">
        <w:t>with 80 mg of catalyst</w:t>
      </w:r>
      <w:r w:rsidR="00DF31D7">
        <w:t xml:space="preserve"> at 210°C. Results, expressed as produced mmol of 5-HMF, are reported in Figure 4. </w:t>
      </w:r>
    </w:p>
    <w:p w14:paraId="75BA9012" w14:textId="12B769FA" w:rsidR="001A4EAC" w:rsidRDefault="001A4EAC" w:rsidP="001A4EAC">
      <w:pPr>
        <w:pStyle w:val="CETTabletitle"/>
      </w:pPr>
      <w:r>
        <w:t xml:space="preserve">Table </w:t>
      </w:r>
      <w:r>
        <w:fldChar w:fldCharType="begin"/>
      </w:r>
      <w:r>
        <w:instrText xml:space="preserve"> SEQ Table \* ARABIC </w:instrText>
      </w:r>
      <w:r>
        <w:fldChar w:fldCharType="separate"/>
      </w:r>
      <w:r>
        <w:rPr>
          <w:noProof/>
        </w:rPr>
        <w:t>1</w:t>
      </w:r>
      <w:r>
        <w:fldChar w:fldCharType="end"/>
      </w:r>
      <w:r w:rsidR="00DF31D7">
        <w:t xml:space="preserve">: Conditions of the experiments conducted on the </w:t>
      </w:r>
      <w:r w:rsidR="007C28EA">
        <w:t xml:space="preserve">defatted </w:t>
      </w:r>
      <w:r w:rsidR="00DF31D7">
        <w:t>biomass of Chlorella sp. CW2</w:t>
      </w:r>
      <w:r w:rsidR="00DC6CDE">
        <w:t>.</w:t>
      </w:r>
    </w:p>
    <w:tbl>
      <w:tblPr>
        <w:tblW w:w="5000" w:type="pct"/>
        <w:jc w:val="center"/>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911"/>
        <w:gridCol w:w="3726"/>
        <w:gridCol w:w="2075"/>
        <w:gridCol w:w="2075"/>
      </w:tblGrid>
      <w:tr w:rsidR="00AB64B4" w:rsidRPr="00B57B36" w14:paraId="6DD6E591" w14:textId="1F1C80CB" w:rsidTr="00AB64B4">
        <w:trPr>
          <w:jc w:val="center"/>
        </w:trPr>
        <w:tc>
          <w:tcPr>
            <w:tcW w:w="518" w:type="pct"/>
            <w:tcBorders>
              <w:top w:val="single" w:sz="12" w:space="0" w:color="008000"/>
              <w:bottom w:val="single" w:sz="6" w:space="0" w:color="008000"/>
            </w:tcBorders>
            <w:shd w:val="clear" w:color="auto" w:fill="FFFFFF"/>
          </w:tcPr>
          <w:p w14:paraId="2FDA46C9" w14:textId="2FCB1D29" w:rsidR="00AB64B4" w:rsidRDefault="00AB64B4" w:rsidP="00C94038">
            <w:pPr>
              <w:pStyle w:val="CETBodytext"/>
              <w:jc w:val="center"/>
              <w:rPr>
                <w:lang w:val="en-GB"/>
              </w:rPr>
            </w:pPr>
            <w:r w:rsidRPr="00EA3753">
              <w:t>Experiment</w:t>
            </w:r>
          </w:p>
        </w:tc>
        <w:tc>
          <w:tcPr>
            <w:tcW w:w="2120" w:type="pct"/>
            <w:tcBorders>
              <w:top w:val="single" w:sz="12" w:space="0" w:color="008000"/>
              <w:bottom w:val="single" w:sz="6" w:space="0" w:color="008000"/>
            </w:tcBorders>
            <w:shd w:val="clear" w:color="auto" w:fill="FFFFFF"/>
          </w:tcPr>
          <w:p w14:paraId="63DA4883" w14:textId="611623EC" w:rsidR="00AB64B4" w:rsidRDefault="00AB64B4" w:rsidP="00C94038">
            <w:pPr>
              <w:pStyle w:val="CETBodytext"/>
              <w:jc w:val="center"/>
              <w:rPr>
                <w:lang w:val="en-GB"/>
              </w:rPr>
            </w:pPr>
            <w:r w:rsidRPr="00EA3753">
              <w:t>Pretreatment</w:t>
            </w:r>
          </w:p>
        </w:tc>
        <w:tc>
          <w:tcPr>
            <w:tcW w:w="1181" w:type="pct"/>
            <w:tcBorders>
              <w:top w:val="single" w:sz="12" w:space="0" w:color="008000"/>
              <w:bottom w:val="single" w:sz="6" w:space="0" w:color="008000"/>
            </w:tcBorders>
            <w:shd w:val="clear" w:color="auto" w:fill="FFFFFF"/>
          </w:tcPr>
          <w:p w14:paraId="481CABF8" w14:textId="57A0FA2E" w:rsidR="00AB64B4" w:rsidRPr="00B57B36" w:rsidRDefault="00AB64B4" w:rsidP="00C94038">
            <w:pPr>
              <w:pStyle w:val="CETBodytext"/>
              <w:jc w:val="center"/>
              <w:rPr>
                <w:lang w:val="en-GB"/>
              </w:rPr>
            </w:pPr>
            <w:r w:rsidRPr="00EA3753">
              <w:t>Catalysis</w:t>
            </w:r>
          </w:p>
        </w:tc>
        <w:tc>
          <w:tcPr>
            <w:tcW w:w="1181" w:type="pct"/>
            <w:tcBorders>
              <w:top w:val="single" w:sz="12" w:space="0" w:color="008000"/>
              <w:bottom w:val="single" w:sz="6" w:space="0" w:color="008000"/>
            </w:tcBorders>
            <w:shd w:val="clear" w:color="auto" w:fill="FFFFFF"/>
          </w:tcPr>
          <w:p w14:paraId="2385AA63" w14:textId="2EC95A49" w:rsidR="00AB64B4" w:rsidRPr="00EA3753" w:rsidRDefault="00AB64B4" w:rsidP="00C94038">
            <w:pPr>
              <w:pStyle w:val="CETBodytext"/>
              <w:jc w:val="center"/>
            </w:pPr>
            <w:r>
              <w:t>Employed biomass</w:t>
            </w:r>
          </w:p>
        </w:tc>
      </w:tr>
      <w:tr w:rsidR="00AB64B4" w:rsidRPr="00B57B36" w14:paraId="562A758D" w14:textId="59E66C1C" w:rsidTr="00AB64B4">
        <w:trPr>
          <w:jc w:val="center"/>
        </w:trPr>
        <w:tc>
          <w:tcPr>
            <w:tcW w:w="518" w:type="pct"/>
            <w:shd w:val="clear" w:color="auto" w:fill="FFFFFF"/>
          </w:tcPr>
          <w:p w14:paraId="6831D53F" w14:textId="173A5290" w:rsidR="00AB64B4" w:rsidRPr="00B57B36" w:rsidRDefault="00AB64B4" w:rsidP="00C94038">
            <w:pPr>
              <w:pStyle w:val="CETBodytext"/>
              <w:jc w:val="center"/>
              <w:rPr>
                <w:lang w:val="en-GB"/>
              </w:rPr>
            </w:pPr>
            <w:r w:rsidRPr="00475FE7">
              <w:t>A</w:t>
            </w:r>
          </w:p>
        </w:tc>
        <w:tc>
          <w:tcPr>
            <w:tcW w:w="2120" w:type="pct"/>
            <w:shd w:val="clear" w:color="auto" w:fill="FFFFFF"/>
          </w:tcPr>
          <w:p w14:paraId="5ACECF8A" w14:textId="07187D13" w:rsidR="00AB64B4" w:rsidRPr="00B57B36" w:rsidRDefault="00AB64B4" w:rsidP="00C94038">
            <w:pPr>
              <w:pStyle w:val="CETBodytext"/>
              <w:jc w:val="center"/>
              <w:rPr>
                <w:lang w:val="en-GB"/>
              </w:rPr>
            </w:pPr>
            <w:r w:rsidRPr="00475FE7">
              <w:t>Acetic Acid 0.1 M, 120°C, 2 h</w:t>
            </w:r>
          </w:p>
        </w:tc>
        <w:tc>
          <w:tcPr>
            <w:tcW w:w="1181" w:type="pct"/>
            <w:shd w:val="clear" w:color="auto" w:fill="FFFFFF"/>
          </w:tcPr>
          <w:p w14:paraId="4AFCD26D" w14:textId="29204F7F" w:rsidR="00AB64B4" w:rsidRPr="00B57B36" w:rsidRDefault="00AB64B4" w:rsidP="00C94038">
            <w:pPr>
              <w:pStyle w:val="CETBodytext"/>
              <w:jc w:val="center"/>
              <w:rPr>
                <w:lang w:val="en-GB"/>
              </w:rPr>
            </w:pPr>
            <w:r w:rsidRPr="00475FE7">
              <w:t>4,5 h, 100% cat, 180 °C</w:t>
            </w:r>
          </w:p>
        </w:tc>
        <w:tc>
          <w:tcPr>
            <w:tcW w:w="1181" w:type="pct"/>
            <w:shd w:val="clear" w:color="auto" w:fill="FFFFFF"/>
          </w:tcPr>
          <w:p w14:paraId="77CE4755" w14:textId="6467604A" w:rsidR="00AB64B4" w:rsidRPr="00475FE7" w:rsidRDefault="00AB64B4" w:rsidP="00C94038">
            <w:pPr>
              <w:pStyle w:val="CETBodytext"/>
              <w:jc w:val="center"/>
            </w:pPr>
            <w:r>
              <w:t>CW2d</w:t>
            </w:r>
          </w:p>
        </w:tc>
      </w:tr>
      <w:tr w:rsidR="00AB64B4" w:rsidRPr="00B57B36" w14:paraId="2EB034B0" w14:textId="3F938DED" w:rsidTr="00AB64B4">
        <w:trPr>
          <w:jc w:val="center"/>
        </w:trPr>
        <w:tc>
          <w:tcPr>
            <w:tcW w:w="518" w:type="pct"/>
            <w:shd w:val="clear" w:color="auto" w:fill="FFFFFF"/>
          </w:tcPr>
          <w:p w14:paraId="4C1A6F80" w14:textId="57968889" w:rsidR="00AB64B4" w:rsidRDefault="00AB64B4" w:rsidP="00AB64B4">
            <w:pPr>
              <w:pStyle w:val="CETBodytext"/>
              <w:jc w:val="center"/>
              <w:rPr>
                <w:lang w:val="en-GB"/>
              </w:rPr>
            </w:pPr>
            <w:r w:rsidRPr="00475FE7">
              <w:t>B</w:t>
            </w:r>
          </w:p>
        </w:tc>
        <w:tc>
          <w:tcPr>
            <w:tcW w:w="2120" w:type="pct"/>
            <w:shd w:val="clear" w:color="auto" w:fill="FFFFFF"/>
          </w:tcPr>
          <w:p w14:paraId="2D346289" w14:textId="4500E1F6" w:rsidR="00AB64B4" w:rsidRPr="00A279B6" w:rsidRDefault="00AB64B4" w:rsidP="00AB64B4">
            <w:pPr>
              <w:pStyle w:val="CETBodytext"/>
              <w:jc w:val="center"/>
              <w:rPr>
                <w:lang w:val="en-GB"/>
              </w:rPr>
            </w:pPr>
            <w:r w:rsidRPr="00475FE7">
              <w:t>heterogeneous catalyst in water, 120°C, 2 h</w:t>
            </w:r>
          </w:p>
        </w:tc>
        <w:tc>
          <w:tcPr>
            <w:tcW w:w="1181" w:type="pct"/>
            <w:shd w:val="clear" w:color="auto" w:fill="FFFFFF"/>
          </w:tcPr>
          <w:p w14:paraId="4DB4DDDD" w14:textId="4DE96D50" w:rsidR="00AB64B4" w:rsidRDefault="00AB64B4" w:rsidP="00AB64B4">
            <w:pPr>
              <w:pStyle w:val="CETBodytext"/>
              <w:jc w:val="center"/>
              <w:rPr>
                <w:lang w:val="en-GB"/>
              </w:rPr>
            </w:pPr>
            <w:r w:rsidRPr="00475FE7">
              <w:t>4,5 h, 100% cat, 180 °C</w:t>
            </w:r>
          </w:p>
        </w:tc>
        <w:tc>
          <w:tcPr>
            <w:tcW w:w="1181" w:type="pct"/>
            <w:shd w:val="clear" w:color="auto" w:fill="FFFFFF"/>
          </w:tcPr>
          <w:p w14:paraId="1AB8954A" w14:textId="59B3B61A" w:rsidR="00AB64B4" w:rsidRPr="00475FE7" w:rsidRDefault="00AB64B4" w:rsidP="00AB64B4">
            <w:pPr>
              <w:pStyle w:val="CETBodytext"/>
              <w:jc w:val="center"/>
            </w:pPr>
            <w:r w:rsidRPr="00FE7410">
              <w:t>CW2d</w:t>
            </w:r>
          </w:p>
        </w:tc>
      </w:tr>
      <w:tr w:rsidR="00AB64B4" w:rsidRPr="00B57B36" w14:paraId="049AADB1" w14:textId="364409B5" w:rsidTr="00AB64B4">
        <w:trPr>
          <w:jc w:val="center"/>
        </w:trPr>
        <w:tc>
          <w:tcPr>
            <w:tcW w:w="518" w:type="pct"/>
            <w:shd w:val="clear" w:color="auto" w:fill="FFFFFF"/>
          </w:tcPr>
          <w:p w14:paraId="1021B293" w14:textId="0F1372D4" w:rsidR="00AB64B4" w:rsidRDefault="00AB64B4" w:rsidP="00AB64B4">
            <w:pPr>
              <w:pStyle w:val="CETBodytext"/>
              <w:jc w:val="center"/>
              <w:rPr>
                <w:lang w:val="en-GB"/>
              </w:rPr>
            </w:pPr>
            <w:r w:rsidRPr="00475FE7">
              <w:t>C</w:t>
            </w:r>
          </w:p>
        </w:tc>
        <w:tc>
          <w:tcPr>
            <w:tcW w:w="2120" w:type="pct"/>
            <w:shd w:val="clear" w:color="auto" w:fill="FFFFFF"/>
          </w:tcPr>
          <w:p w14:paraId="77CC5D3B" w14:textId="7828DD8B" w:rsidR="00AB64B4" w:rsidRPr="00A279B6" w:rsidRDefault="00AB64B4" w:rsidP="00AB64B4">
            <w:pPr>
              <w:pStyle w:val="CETBodytext"/>
              <w:jc w:val="center"/>
              <w:rPr>
                <w:lang w:val="en-GB"/>
              </w:rPr>
            </w:pPr>
            <w:r w:rsidRPr="00475FE7">
              <w:t>Water, 120°C, 2 h</w:t>
            </w:r>
          </w:p>
        </w:tc>
        <w:tc>
          <w:tcPr>
            <w:tcW w:w="1181" w:type="pct"/>
            <w:shd w:val="clear" w:color="auto" w:fill="FFFFFF"/>
          </w:tcPr>
          <w:p w14:paraId="7621AA99" w14:textId="52C815FB" w:rsidR="00AB64B4" w:rsidRDefault="00AB64B4" w:rsidP="00AB64B4">
            <w:pPr>
              <w:pStyle w:val="CETBodytext"/>
              <w:jc w:val="center"/>
              <w:rPr>
                <w:lang w:val="en-GB"/>
              </w:rPr>
            </w:pPr>
            <w:r w:rsidRPr="00475FE7">
              <w:t>4,5 h, 200% cat, 210 °C</w:t>
            </w:r>
          </w:p>
        </w:tc>
        <w:tc>
          <w:tcPr>
            <w:tcW w:w="1181" w:type="pct"/>
            <w:shd w:val="clear" w:color="auto" w:fill="FFFFFF"/>
          </w:tcPr>
          <w:p w14:paraId="6B3525B7" w14:textId="5E5DDEDB" w:rsidR="00AB64B4" w:rsidRPr="00475FE7" w:rsidRDefault="00AB64B4" w:rsidP="00AB64B4">
            <w:pPr>
              <w:pStyle w:val="CETBodytext"/>
              <w:jc w:val="center"/>
            </w:pPr>
            <w:r w:rsidRPr="00FE7410">
              <w:t>CW2d</w:t>
            </w:r>
          </w:p>
        </w:tc>
      </w:tr>
      <w:tr w:rsidR="00AB64B4" w:rsidRPr="00B57B36" w14:paraId="51BD7633" w14:textId="70F4C9D3" w:rsidTr="00AB64B4">
        <w:trPr>
          <w:jc w:val="center"/>
        </w:trPr>
        <w:tc>
          <w:tcPr>
            <w:tcW w:w="518" w:type="pct"/>
            <w:shd w:val="clear" w:color="auto" w:fill="FFFFFF"/>
          </w:tcPr>
          <w:p w14:paraId="1EAC72AB" w14:textId="61001B05" w:rsidR="00AB64B4" w:rsidRDefault="00AB64B4" w:rsidP="00AB64B4">
            <w:pPr>
              <w:pStyle w:val="CETBodytext"/>
              <w:jc w:val="center"/>
              <w:rPr>
                <w:lang w:val="en-GB"/>
              </w:rPr>
            </w:pPr>
            <w:r w:rsidRPr="00475FE7">
              <w:t>D</w:t>
            </w:r>
          </w:p>
        </w:tc>
        <w:tc>
          <w:tcPr>
            <w:tcW w:w="2120" w:type="pct"/>
            <w:shd w:val="clear" w:color="auto" w:fill="FFFFFF"/>
          </w:tcPr>
          <w:p w14:paraId="58B7D413" w14:textId="5C196AAD" w:rsidR="00AB64B4" w:rsidRPr="00A279B6" w:rsidRDefault="00AB64B4" w:rsidP="00AB64B4">
            <w:pPr>
              <w:pStyle w:val="CETBodytext"/>
              <w:jc w:val="center"/>
              <w:rPr>
                <w:lang w:val="en-GB"/>
              </w:rPr>
            </w:pPr>
            <w:r w:rsidRPr="00475FE7">
              <w:t>Acetic Acid 0.1 M, 120°C, 2 h</w:t>
            </w:r>
          </w:p>
        </w:tc>
        <w:tc>
          <w:tcPr>
            <w:tcW w:w="1181" w:type="pct"/>
            <w:shd w:val="clear" w:color="auto" w:fill="FFFFFF"/>
          </w:tcPr>
          <w:p w14:paraId="1F4FC175" w14:textId="561E6336" w:rsidR="00AB64B4" w:rsidRDefault="00AB64B4" w:rsidP="00AB64B4">
            <w:pPr>
              <w:pStyle w:val="CETBodytext"/>
              <w:jc w:val="center"/>
              <w:rPr>
                <w:lang w:val="en-GB"/>
              </w:rPr>
            </w:pPr>
            <w:r w:rsidRPr="00475FE7">
              <w:t>4,5 h, 200% cat, 210 °C</w:t>
            </w:r>
          </w:p>
        </w:tc>
        <w:tc>
          <w:tcPr>
            <w:tcW w:w="1181" w:type="pct"/>
            <w:shd w:val="clear" w:color="auto" w:fill="FFFFFF"/>
          </w:tcPr>
          <w:p w14:paraId="79EF96AA" w14:textId="523B687A" w:rsidR="00AB64B4" w:rsidRPr="00475FE7" w:rsidRDefault="00AB64B4" w:rsidP="00AB64B4">
            <w:pPr>
              <w:pStyle w:val="CETBodytext"/>
              <w:jc w:val="center"/>
            </w:pPr>
            <w:r w:rsidRPr="00FE7410">
              <w:t>CW2d</w:t>
            </w:r>
          </w:p>
        </w:tc>
      </w:tr>
      <w:tr w:rsidR="00AB64B4" w:rsidRPr="00B57B36" w14:paraId="65DB360E" w14:textId="7773F110" w:rsidTr="00AB64B4">
        <w:trPr>
          <w:jc w:val="center"/>
        </w:trPr>
        <w:tc>
          <w:tcPr>
            <w:tcW w:w="518" w:type="pct"/>
            <w:shd w:val="clear" w:color="auto" w:fill="FFFFFF"/>
          </w:tcPr>
          <w:p w14:paraId="707B6878" w14:textId="66D0EBD3" w:rsidR="00AB64B4" w:rsidRDefault="00AB64B4" w:rsidP="00AB64B4">
            <w:pPr>
              <w:pStyle w:val="CETBodytext"/>
              <w:jc w:val="center"/>
              <w:rPr>
                <w:lang w:val="en-GB"/>
              </w:rPr>
            </w:pPr>
            <w:r w:rsidRPr="00475FE7">
              <w:t>E</w:t>
            </w:r>
          </w:p>
        </w:tc>
        <w:tc>
          <w:tcPr>
            <w:tcW w:w="2120" w:type="pct"/>
            <w:shd w:val="clear" w:color="auto" w:fill="FFFFFF"/>
          </w:tcPr>
          <w:p w14:paraId="4963A42D" w14:textId="77F3FC5A" w:rsidR="00AB64B4" w:rsidRPr="00A279B6" w:rsidRDefault="00AB64B4" w:rsidP="00AB64B4">
            <w:pPr>
              <w:pStyle w:val="CETBodytext"/>
              <w:jc w:val="center"/>
              <w:rPr>
                <w:lang w:val="en-GB"/>
              </w:rPr>
            </w:pPr>
            <w:r w:rsidRPr="00475FE7">
              <w:t>heterogeneous catalyst in water, 120°C, 2 h</w:t>
            </w:r>
          </w:p>
        </w:tc>
        <w:tc>
          <w:tcPr>
            <w:tcW w:w="1181" w:type="pct"/>
            <w:shd w:val="clear" w:color="auto" w:fill="FFFFFF"/>
          </w:tcPr>
          <w:p w14:paraId="0E9E316F" w14:textId="66250ED1" w:rsidR="00AB64B4" w:rsidRDefault="00AB64B4" w:rsidP="00AB64B4">
            <w:pPr>
              <w:pStyle w:val="CETBodytext"/>
              <w:jc w:val="center"/>
              <w:rPr>
                <w:lang w:val="en-GB"/>
              </w:rPr>
            </w:pPr>
            <w:r w:rsidRPr="00475FE7">
              <w:t>4,5 h, 200% cat, 210 °C</w:t>
            </w:r>
          </w:p>
        </w:tc>
        <w:tc>
          <w:tcPr>
            <w:tcW w:w="1181" w:type="pct"/>
            <w:shd w:val="clear" w:color="auto" w:fill="FFFFFF"/>
          </w:tcPr>
          <w:p w14:paraId="35F3F603" w14:textId="4C23DFE5" w:rsidR="00AB64B4" w:rsidRPr="00475FE7" w:rsidRDefault="00AB64B4" w:rsidP="00AB64B4">
            <w:pPr>
              <w:pStyle w:val="CETBodytext"/>
              <w:jc w:val="center"/>
            </w:pPr>
            <w:r w:rsidRPr="00FE7410">
              <w:t>CW2d</w:t>
            </w:r>
          </w:p>
        </w:tc>
      </w:tr>
    </w:tbl>
    <w:p w14:paraId="377DE800" w14:textId="67BC9A0A" w:rsidR="007C28EA" w:rsidRPr="004827B2" w:rsidRDefault="007C28EA" w:rsidP="00EB6F7C">
      <w:pPr>
        <w:pStyle w:val="CETBodytext"/>
        <w:spacing w:before="240"/>
      </w:pPr>
      <w:r>
        <w:t xml:space="preserve">From the results shown in Figure 4, it appears evident that experiments A to D failed in the production of 5-HMF compared to experiment E. This occurred both if the pretreatment was conducted in water or in diluted acetic acid. In the same way, even at the lowest tested temperature of 180°C together with the lowest catalyst concentration of 100% (A and B) or at higher temperature and catalyst concentration (C and D) the effect was similar. The yield substantially increased when the catalyst was inserted directly in the reaction mixture (E), with a preliminary step at 120°C for 2 hour and a catalytic step of 4.5 h at 210°C. The </w:t>
      </w:r>
      <w:r w:rsidR="00601490">
        <w:t>optimal</w:t>
      </w:r>
      <w:r>
        <w:t xml:space="preserve"> condition </w:t>
      </w:r>
      <w:r w:rsidR="00601490">
        <w:t xml:space="preserve">to obtain the best results, in terms of yield to </w:t>
      </w:r>
      <w:r>
        <w:t xml:space="preserve">5-HMF amongst the </w:t>
      </w:r>
      <w:r w:rsidR="00601490">
        <w:t xml:space="preserve">various </w:t>
      </w:r>
      <w:r>
        <w:t>test</w:t>
      </w:r>
      <w:r w:rsidR="00601490">
        <w:t>s performed using</w:t>
      </w:r>
      <w:r>
        <w:t xml:space="preserve"> defatted biomass and</w:t>
      </w:r>
      <w:r w:rsidRPr="0087209C">
        <w:t xml:space="preserve"> </w:t>
      </w:r>
      <w:r>
        <w:t xml:space="preserve">80 mg </w:t>
      </w:r>
      <w:r w:rsidRPr="0087209C">
        <w:t>NbOPO</w:t>
      </w:r>
      <w:r w:rsidRPr="0087209C">
        <w:rPr>
          <w:vertAlign w:val="subscript"/>
        </w:rPr>
        <w:t>4</w:t>
      </w:r>
      <w:r w:rsidRPr="0087209C">
        <w:t xml:space="preserve"> nH</w:t>
      </w:r>
      <w:r w:rsidRPr="0087209C">
        <w:rPr>
          <w:vertAlign w:val="subscript"/>
        </w:rPr>
        <w:t>2</w:t>
      </w:r>
      <w:r w:rsidRPr="0087209C">
        <w:t>O catalyst</w:t>
      </w:r>
      <w:r>
        <w:t xml:space="preserve"> </w:t>
      </w:r>
      <w:r w:rsidR="00601490">
        <w:t>were</w:t>
      </w:r>
      <w:r>
        <w:t xml:space="preserve"> a preliminary step at 120°C for 2 h, followed by a catalytic step of 4.5 h at 210°C.</w:t>
      </w:r>
    </w:p>
    <w:p w14:paraId="1B49BC3C" w14:textId="657CF432" w:rsidR="00874FDF" w:rsidRPr="00DC6CDE" w:rsidRDefault="00B30C6B" w:rsidP="00876584">
      <w:pPr>
        <w:pStyle w:val="CETBodytext"/>
        <w:keepNext/>
        <w:jc w:val="center"/>
      </w:pPr>
      <w:r>
        <w:rPr>
          <w:noProof/>
          <w:lang w:val="it-IT" w:eastAsia="it-IT"/>
        </w:rPr>
        <w:lastRenderedPageBreak/>
        <w:drawing>
          <wp:inline distT="0" distB="0" distL="0" distR="0" wp14:anchorId="319CCBE0" wp14:editId="69A90288">
            <wp:extent cx="5460521" cy="2078966"/>
            <wp:effectExtent l="0" t="0" r="6985" b="0"/>
            <wp:docPr id="4" name="Grafico 4">
              <a:extLst xmlns:a="http://schemas.openxmlformats.org/drawingml/2006/main">
                <a:ext uri="{FF2B5EF4-FFF2-40B4-BE49-F238E27FC236}">
                  <a16:creationId xmlns:a16="http://schemas.microsoft.com/office/drawing/2014/main" id="{4A515B05-94A7-B9B9-A986-21C788AD45C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0056773A">
        <w:t xml:space="preserve">Figure </w:t>
      </w:r>
      <w:r w:rsidR="0056773A">
        <w:fldChar w:fldCharType="begin"/>
      </w:r>
      <w:r w:rsidR="0056773A">
        <w:instrText xml:space="preserve"> SEQ Figure \* ARABIC </w:instrText>
      </w:r>
      <w:r w:rsidR="0056773A">
        <w:fldChar w:fldCharType="separate"/>
      </w:r>
      <w:r w:rsidR="0056773A">
        <w:rPr>
          <w:noProof/>
        </w:rPr>
        <w:t>4</w:t>
      </w:r>
      <w:r w:rsidR="0056773A">
        <w:fldChar w:fldCharType="end"/>
      </w:r>
      <w:r w:rsidR="00DC6CDE">
        <w:t xml:space="preserve">: </w:t>
      </w:r>
      <w:r w:rsidR="00216D9C">
        <w:t>Amount o</w:t>
      </w:r>
      <w:r w:rsidR="00DC6CDE">
        <w:t xml:space="preserve">f 5-HMF </w:t>
      </w:r>
      <w:r w:rsidR="00324482">
        <w:t xml:space="preserve">produced in batch hydrothermal reaction </w:t>
      </w:r>
      <w:proofErr w:type="spellStart"/>
      <w:r w:rsidR="00324482">
        <w:t>catalysed</w:t>
      </w:r>
      <w:proofErr w:type="spellEnd"/>
      <w:r w:rsidR="00324482">
        <w:t xml:space="preserve"> by NbOPO</w:t>
      </w:r>
      <w:r w:rsidR="00324482" w:rsidRPr="00324482">
        <w:rPr>
          <w:vertAlign w:val="subscript"/>
        </w:rPr>
        <w:t>4</w:t>
      </w:r>
      <w:r w:rsidR="00324482">
        <w:t xml:space="preserve"> nH</w:t>
      </w:r>
      <w:r w:rsidR="00324482" w:rsidRPr="00324482">
        <w:rPr>
          <w:vertAlign w:val="subscript"/>
        </w:rPr>
        <w:t>2</w:t>
      </w:r>
      <w:r w:rsidR="00324482">
        <w:t>O catalyst.</w:t>
      </w:r>
    </w:p>
    <w:p w14:paraId="68D26B83" w14:textId="77777777" w:rsidR="00600535" w:rsidRPr="00B57B36" w:rsidRDefault="00600535" w:rsidP="00600535">
      <w:pPr>
        <w:pStyle w:val="CETHeading1"/>
        <w:rPr>
          <w:lang w:val="en-GB"/>
        </w:rPr>
      </w:pPr>
      <w:r w:rsidRPr="00B57B36">
        <w:rPr>
          <w:lang w:val="en-GB"/>
        </w:rPr>
        <w:t>Conclusions</w:t>
      </w:r>
    </w:p>
    <w:p w14:paraId="52DAFDE0" w14:textId="7BE1BD0D" w:rsidR="001D0CFB" w:rsidRDefault="00C5231B" w:rsidP="00600535">
      <w:pPr>
        <w:pStyle w:val="CETBodytext"/>
        <w:rPr>
          <w:lang w:val="en-GB"/>
        </w:rPr>
      </w:pPr>
      <w:r>
        <w:rPr>
          <w:lang w:val="en-GB"/>
        </w:rPr>
        <w:t>In this work, we set up a proof-of concept process demonstrating that it is possible to em</w:t>
      </w:r>
      <w:r w:rsidR="00EE1FB6">
        <w:rPr>
          <w:lang w:val="en-GB"/>
        </w:rPr>
        <w:t xml:space="preserve">ploy the biomass of an autochthonous strain of </w:t>
      </w:r>
      <w:r w:rsidR="00EE1FB6" w:rsidRPr="008F6062">
        <w:rPr>
          <w:i/>
          <w:iCs/>
          <w:lang w:val="en-GB"/>
        </w:rPr>
        <w:t>Chlorella sp</w:t>
      </w:r>
      <w:r w:rsidR="00EE1FB6">
        <w:rPr>
          <w:lang w:val="en-GB"/>
        </w:rPr>
        <w:t xml:space="preserve">. in a biorefinery approach. The biomass was extracted from its content of triglycerides, which were </w:t>
      </w:r>
      <w:proofErr w:type="spellStart"/>
      <w:r w:rsidR="00EE1FB6">
        <w:rPr>
          <w:lang w:val="en-GB"/>
        </w:rPr>
        <w:t>saponificated</w:t>
      </w:r>
      <w:proofErr w:type="spellEnd"/>
      <w:r w:rsidR="00EE1FB6">
        <w:rPr>
          <w:lang w:val="en-GB"/>
        </w:rPr>
        <w:t xml:space="preserve"> in FA. The oleic acid contained in the FA mixture was employed for a biotransformation reaction </w:t>
      </w:r>
      <w:proofErr w:type="gramStart"/>
      <w:r w:rsidR="00EE1FB6">
        <w:rPr>
          <w:lang w:val="en-GB"/>
        </w:rPr>
        <w:t>for the production of</w:t>
      </w:r>
      <w:proofErr w:type="gramEnd"/>
      <w:r w:rsidR="00EE1FB6">
        <w:rPr>
          <w:lang w:val="en-GB"/>
        </w:rPr>
        <w:t xml:space="preserve"> 10-hydroxy FA. The cellular debris obtained as a side-stream from the extraction of oils from the biomass were instead </w:t>
      </w:r>
      <w:r w:rsidR="00927528">
        <w:rPr>
          <w:lang w:val="en-GB"/>
        </w:rPr>
        <w:t xml:space="preserve">exploited for their content in sugars and converted through a catalytic heterogeneous reaction in 5-HMF. </w:t>
      </w:r>
      <w:r w:rsidR="00D60B6D">
        <w:rPr>
          <w:lang w:val="en-GB"/>
        </w:rPr>
        <w:t>The best tested conditions for th</w:t>
      </w:r>
      <w:r w:rsidR="00476C5D">
        <w:rPr>
          <w:lang w:val="en-GB"/>
        </w:rPr>
        <w:t xml:space="preserve">ese </w:t>
      </w:r>
      <w:r w:rsidR="00D60B6D">
        <w:rPr>
          <w:lang w:val="en-GB"/>
        </w:rPr>
        <w:t xml:space="preserve">conversions were identified in </w:t>
      </w:r>
      <w:r w:rsidR="00065781">
        <w:t>a preliminary step at 120°C for 2 h, followed by a catalytic step of 4.5 h at 210°C</w:t>
      </w:r>
      <w:r w:rsidR="00065781">
        <w:rPr>
          <w:lang w:val="en-GB"/>
        </w:rPr>
        <w:t xml:space="preserve">, both with 80 mg of catalyst (equivalent to </w:t>
      </w:r>
      <w:r w:rsidR="00D60B6D">
        <w:rPr>
          <w:lang w:val="en-GB"/>
        </w:rPr>
        <w:t xml:space="preserve">200% </w:t>
      </w:r>
      <w:r w:rsidR="00065781">
        <w:rPr>
          <w:lang w:val="en-GB"/>
        </w:rPr>
        <w:t>compared to the initial biomass)</w:t>
      </w:r>
      <w:r w:rsidR="00D60B6D">
        <w:rPr>
          <w:lang w:val="en-GB"/>
        </w:rPr>
        <w:t xml:space="preserve">. </w:t>
      </w:r>
      <w:r w:rsidR="00927528">
        <w:rPr>
          <w:lang w:val="en-GB"/>
        </w:rPr>
        <w:t>Both the obtained products have a good added-value and may be used to make the cultivation of biomass sustainable. This approach may help spreading the microalgal industrial sector</w:t>
      </w:r>
      <w:r w:rsidR="008F6062">
        <w:rPr>
          <w:lang w:val="en-GB"/>
        </w:rPr>
        <w:t xml:space="preserve"> thanks to the abatement of costs</w:t>
      </w:r>
      <w:r w:rsidR="00476C5D">
        <w:rPr>
          <w:lang w:val="en-GB"/>
        </w:rPr>
        <w:t xml:space="preserve">, although a careful economic analysis should be done </w:t>
      </w:r>
      <w:proofErr w:type="gramStart"/>
      <w:r w:rsidR="00476C5D">
        <w:rPr>
          <w:lang w:val="en-GB"/>
        </w:rPr>
        <w:t>in order to</w:t>
      </w:r>
      <w:proofErr w:type="gramEnd"/>
      <w:r w:rsidR="00476C5D">
        <w:rPr>
          <w:lang w:val="en-GB"/>
        </w:rPr>
        <w:t xml:space="preserve"> properly evaluate the proposed technology.</w:t>
      </w:r>
    </w:p>
    <w:p w14:paraId="459D05E6" w14:textId="77777777" w:rsidR="00600535" w:rsidRPr="00B57B36" w:rsidRDefault="00600535" w:rsidP="00600535">
      <w:pPr>
        <w:pStyle w:val="CETAcknowledgementstitle"/>
      </w:pPr>
      <w:r w:rsidRPr="00B57B36">
        <w:t>Acknowledgments</w:t>
      </w:r>
    </w:p>
    <w:p w14:paraId="5FC0962E" w14:textId="77777777" w:rsidR="00C64885" w:rsidRPr="00B206D8" w:rsidRDefault="00C64885" w:rsidP="00C64885">
      <w:pPr>
        <w:rPr>
          <w:lang w:val="it-IT"/>
        </w:rPr>
      </w:pPr>
      <w:r w:rsidRPr="00D67C2C">
        <w:t>This project has received funding from the European Union’s Hor</w:t>
      </w:r>
      <w:r>
        <w:t>i</w:t>
      </w:r>
      <w:r w:rsidRPr="00D67C2C">
        <w:t xml:space="preserve">zon 2020 research and innovation programme under the Marie </w:t>
      </w:r>
      <w:proofErr w:type="spellStart"/>
      <w:r w:rsidRPr="00D67C2C">
        <w:t>Sklodowska</w:t>
      </w:r>
      <w:proofErr w:type="spellEnd"/>
      <w:r w:rsidRPr="00D67C2C">
        <w:t>-Curie grant agreement No 101031186</w:t>
      </w:r>
      <w:r>
        <w:t>.</w:t>
      </w:r>
      <w:r w:rsidRPr="00D67C2C">
        <w:t xml:space="preserve"> </w:t>
      </w:r>
      <w:proofErr w:type="spellStart"/>
      <w:r w:rsidRPr="00B206D8">
        <w:rPr>
          <w:lang w:val="it-IT"/>
        </w:rPr>
        <w:t>This</w:t>
      </w:r>
      <w:proofErr w:type="spellEnd"/>
      <w:r w:rsidRPr="00B206D8">
        <w:rPr>
          <w:lang w:val="it-IT"/>
        </w:rPr>
        <w:t xml:space="preserve"> work </w:t>
      </w:r>
      <w:proofErr w:type="spellStart"/>
      <w:r w:rsidRPr="00B206D8">
        <w:rPr>
          <w:lang w:val="it-IT"/>
        </w:rPr>
        <w:t>was</w:t>
      </w:r>
      <w:proofErr w:type="spellEnd"/>
      <w:r w:rsidRPr="00B206D8">
        <w:rPr>
          <w:lang w:val="it-IT"/>
        </w:rPr>
        <w:t xml:space="preserve"> </w:t>
      </w:r>
      <w:proofErr w:type="spellStart"/>
      <w:r w:rsidRPr="00B206D8">
        <w:rPr>
          <w:lang w:val="it-IT"/>
        </w:rPr>
        <w:t>also</w:t>
      </w:r>
      <w:proofErr w:type="spellEnd"/>
      <w:r w:rsidRPr="00B206D8">
        <w:rPr>
          <w:lang w:val="it-IT"/>
        </w:rPr>
        <w:t xml:space="preserve"> </w:t>
      </w:r>
      <w:proofErr w:type="spellStart"/>
      <w:r w:rsidRPr="00B206D8">
        <w:rPr>
          <w:lang w:val="it-IT"/>
        </w:rPr>
        <w:t>carried</w:t>
      </w:r>
      <w:proofErr w:type="spellEnd"/>
      <w:r w:rsidRPr="00B206D8">
        <w:rPr>
          <w:lang w:val="it-IT"/>
        </w:rPr>
        <w:t xml:space="preserve"> out with the co-funding of </w:t>
      </w:r>
      <w:proofErr w:type="spellStart"/>
      <w:r w:rsidRPr="00B206D8">
        <w:rPr>
          <w:lang w:val="it-IT"/>
        </w:rPr>
        <w:t>European</w:t>
      </w:r>
      <w:proofErr w:type="spellEnd"/>
      <w:r w:rsidRPr="00B206D8">
        <w:rPr>
          <w:lang w:val="it-IT"/>
        </w:rPr>
        <w:t xml:space="preserve"> Union, </w:t>
      </w:r>
      <w:proofErr w:type="spellStart"/>
      <w:r w:rsidRPr="00B206D8">
        <w:rPr>
          <w:lang w:val="it-IT"/>
        </w:rPr>
        <w:t>European</w:t>
      </w:r>
      <w:proofErr w:type="spellEnd"/>
      <w:r w:rsidRPr="00B206D8">
        <w:rPr>
          <w:lang w:val="it-IT"/>
        </w:rPr>
        <w:t xml:space="preserve"> Social Fund – REACT EU, PON Ricerca e Innovazione 2014-2020, Azione IV.4 “Dottorati e contratti di ricerca su tematiche dell'innovazione” and Azione IV.6 “Contratti di ricerca su tematiche Green” (DM 1062/2021).</w:t>
      </w:r>
    </w:p>
    <w:p w14:paraId="4F1327F8" w14:textId="77777777" w:rsidR="00600535" w:rsidRPr="00B206D8" w:rsidRDefault="00600535" w:rsidP="00600535">
      <w:pPr>
        <w:pStyle w:val="CETReference"/>
        <w:rPr>
          <w:lang w:val="it-IT"/>
        </w:rPr>
      </w:pPr>
      <w:proofErr w:type="spellStart"/>
      <w:r w:rsidRPr="00B206D8">
        <w:rPr>
          <w:lang w:val="it-IT"/>
        </w:rPr>
        <w:t>References</w:t>
      </w:r>
      <w:proofErr w:type="spellEnd"/>
    </w:p>
    <w:p w14:paraId="50D1217F" w14:textId="6CB14B13" w:rsidR="007D370A" w:rsidRPr="00B206D8" w:rsidRDefault="00C64885" w:rsidP="007D370A">
      <w:pPr>
        <w:widowControl w:val="0"/>
        <w:autoSpaceDE w:val="0"/>
        <w:autoSpaceDN w:val="0"/>
        <w:adjustRightInd w:val="0"/>
        <w:spacing w:line="240" w:lineRule="auto"/>
        <w:ind w:left="480" w:hanging="480"/>
        <w:rPr>
          <w:rFonts w:cs="Arial"/>
          <w:noProof/>
          <w:szCs w:val="24"/>
          <w:lang w:val="it-IT"/>
        </w:rPr>
      </w:pPr>
      <w:r>
        <w:fldChar w:fldCharType="begin" w:fldLock="1"/>
      </w:r>
      <w:r w:rsidRPr="00B206D8">
        <w:rPr>
          <w:lang w:val="it-IT"/>
        </w:rPr>
        <w:instrText xml:space="preserve">ADDIN Mendeley Bibliography CSL_BIBLIOGRAPHY </w:instrText>
      </w:r>
      <w:r>
        <w:fldChar w:fldCharType="separate"/>
      </w:r>
      <w:r w:rsidR="007D370A" w:rsidRPr="00B206D8">
        <w:rPr>
          <w:rFonts w:cs="Arial"/>
          <w:noProof/>
          <w:szCs w:val="24"/>
          <w:lang w:val="it-IT"/>
        </w:rPr>
        <w:t xml:space="preserve">Arena, R., Lima, S., Villanova, V., Moukri, N., Curcuraci, E., Messina, C., Santulli, A., &amp; Scargiali, F. (2021). </w:t>
      </w:r>
      <w:r w:rsidR="007D370A" w:rsidRPr="007D370A">
        <w:rPr>
          <w:rFonts w:cs="Arial"/>
          <w:noProof/>
          <w:szCs w:val="24"/>
        </w:rPr>
        <w:t xml:space="preserve">Cultivation and biochemical characterization of isolated Sicilian microalgal species in salt and temperature stress conditions. </w:t>
      </w:r>
      <w:r w:rsidR="007D370A" w:rsidRPr="00B206D8">
        <w:rPr>
          <w:rFonts w:cs="Arial"/>
          <w:i/>
          <w:iCs/>
          <w:noProof/>
          <w:szCs w:val="24"/>
          <w:lang w:val="it-IT"/>
        </w:rPr>
        <w:t>Algal Research</w:t>
      </w:r>
      <w:r w:rsidR="007D370A" w:rsidRPr="00B206D8">
        <w:rPr>
          <w:rFonts w:cs="Arial"/>
          <w:noProof/>
          <w:szCs w:val="24"/>
          <w:lang w:val="it-IT"/>
        </w:rPr>
        <w:t xml:space="preserve">, </w:t>
      </w:r>
      <w:r w:rsidR="007D370A" w:rsidRPr="00B206D8">
        <w:rPr>
          <w:rFonts w:cs="Arial"/>
          <w:i/>
          <w:iCs/>
          <w:noProof/>
          <w:szCs w:val="24"/>
          <w:lang w:val="it-IT"/>
        </w:rPr>
        <w:t>59</w:t>
      </w:r>
      <w:r w:rsidR="007D370A" w:rsidRPr="00B206D8">
        <w:rPr>
          <w:rFonts w:cs="Arial"/>
          <w:noProof/>
          <w:szCs w:val="24"/>
          <w:lang w:val="it-IT"/>
        </w:rPr>
        <w:t>(March), 102430. https://doi.org/10.1016/j.algal.2021.102430</w:t>
      </w:r>
    </w:p>
    <w:p w14:paraId="01FEE0C7" w14:textId="77777777" w:rsidR="007D370A" w:rsidRPr="007D370A" w:rsidRDefault="007D370A" w:rsidP="007D370A">
      <w:pPr>
        <w:widowControl w:val="0"/>
        <w:autoSpaceDE w:val="0"/>
        <w:autoSpaceDN w:val="0"/>
        <w:adjustRightInd w:val="0"/>
        <w:spacing w:line="240" w:lineRule="auto"/>
        <w:ind w:left="480" w:hanging="480"/>
        <w:rPr>
          <w:rFonts w:cs="Arial"/>
          <w:noProof/>
          <w:szCs w:val="24"/>
        </w:rPr>
      </w:pPr>
      <w:r w:rsidRPr="00B206D8">
        <w:rPr>
          <w:rFonts w:cs="Arial"/>
          <w:noProof/>
          <w:szCs w:val="24"/>
          <w:lang w:val="it-IT"/>
        </w:rPr>
        <w:t xml:space="preserve">Biundo, A., Stamm, A., Gorgoglione, R., Syrén, P. O., Curia, S., Hauer, B., Capriati, V., Vitale, P., Perna, F., Agrimi, G., &amp; Pisano, I. (2023). </w:t>
      </w:r>
      <w:r w:rsidRPr="007D370A">
        <w:rPr>
          <w:rFonts w:cs="Arial"/>
          <w:noProof/>
          <w:szCs w:val="24"/>
        </w:rPr>
        <w:t xml:space="preserve">Regio- and stereoselective biocatalytic hydration of fatty acids from waste cooking oils en route to hydroxy fatty acids and bio-based polyesters. </w:t>
      </w:r>
      <w:r w:rsidRPr="007D370A">
        <w:rPr>
          <w:rFonts w:cs="Arial"/>
          <w:i/>
          <w:iCs/>
          <w:noProof/>
          <w:szCs w:val="24"/>
        </w:rPr>
        <w:t>Enzyme and Microbial Technology</w:t>
      </w:r>
      <w:r w:rsidRPr="007D370A">
        <w:rPr>
          <w:rFonts w:cs="Arial"/>
          <w:noProof/>
          <w:szCs w:val="24"/>
        </w:rPr>
        <w:t xml:space="preserve">, </w:t>
      </w:r>
      <w:r w:rsidRPr="007D370A">
        <w:rPr>
          <w:rFonts w:cs="Arial"/>
          <w:i/>
          <w:iCs/>
          <w:noProof/>
          <w:szCs w:val="24"/>
        </w:rPr>
        <w:t>163</w:t>
      </w:r>
      <w:r w:rsidRPr="007D370A">
        <w:rPr>
          <w:rFonts w:cs="Arial"/>
          <w:noProof/>
          <w:szCs w:val="24"/>
        </w:rPr>
        <w:t>(October 2022). https://doi.org/10.1016/j.enzmictec.2022.110164</w:t>
      </w:r>
    </w:p>
    <w:p w14:paraId="2A01EB64" w14:textId="77777777" w:rsidR="007D370A" w:rsidRPr="007D370A" w:rsidRDefault="007D370A" w:rsidP="007D370A">
      <w:pPr>
        <w:widowControl w:val="0"/>
        <w:autoSpaceDE w:val="0"/>
        <w:autoSpaceDN w:val="0"/>
        <w:adjustRightInd w:val="0"/>
        <w:spacing w:line="240" w:lineRule="auto"/>
        <w:ind w:left="480" w:hanging="480"/>
        <w:rPr>
          <w:rFonts w:cs="Arial"/>
          <w:noProof/>
          <w:szCs w:val="24"/>
        </w:rPr>
      </w:pPr>
      <w:r w:rsidRPr="00B206D8">
        <w:rPr>
          <w:rFonts w:cs="Arial"/>
          <w:noProof/>
          <w:szCs w:val="24"/>
          <w:lang w:val="it-IT"/>
        </w:rPr>
        <w:t xml:space="preserve">García-López, E. I., Pomilla, F. R., Megna, B., Testa, M. L., Liotta, L. F., &amp; Marcì, G. (2021). </w:t>
      </w:r>
      <w:r w:rsidRPr="007D370A">
        <w:rPr>
          <w:rFonts w:cs="Arial"/>
          <w:noProof/>
          <w:szCs w:val="24"/>
        </w:rPr>
        <w:t xml:space="preserve">Catalytic dehydration of fructose to 5-hydroxymethylfurfural in aqueous medium over nb2o5-based catalysts. </w:t>
      </w:r>
      <w:r w:rsidRPr="007D370A">
        <w:rPr>
          <w:rFonts w:cs="Arial"/>
          <w:i/>
          <w:iCs/>
          <w:noProof/>
          <w:szCs w:val="24"/>
        </w:rPr>
        <w:t>Nanomaterials</w:t>
      </w:r>
      <w:r w:rsidRPr="007D370A">
        <w:rPr>
          <w:rFonts w:cs="Arial"/>
          <w:noProof/>
          <w:szCs w:val="24"/>
        </w:rPr>
        <w:t xml:space="preserve">, </w:t>
      </w:r>
      <w:r w:rsidRPr="007D370A">
        <w:rPr>
          <w:rFonts w:cs="Arial"/>
          <w:i/>
          <w:iCs/>
          <w:noProof/>
          <w:szCs w:val="24"/>
        </w:rPr>
        <w:t>11</w:t>
      </w:r>
      <w:r w:rsidRPr="007D370A">
        <w:rPr>
          <w:rFonts w:cs="Arial"/>
          <w:noProof/>
          <w:szCs w:val="24"/>
        </w:rPr>
        <w:t>(7). https://doi.org/10.3390/nano11071821</w:t>
      </w:r>
    </w:p>
    <w:p w14:paraId="26B01E8B" w14:textId="77777777" w:rsidR="007D370A" w:rsidRPr="007D370A" w:rsidRDefault="007D370A" w:rsidP="007D370A">
      <w:pPr>
        <w:widowControl w:val="0"/>
        <w:autoSpaceDE w:val="0"/>
        <w:autoSpaceDN w:val="0"/>
        <w:adjustRightInd w:val="0"/>
        <w:spacing w:line="240" w:lineRule="auto"/>
        <w:ind w:left="480" w:hanging="480"/>
        <w:rPr>
          <w:rFonts w:cs="Arial"/>
          <w:noProof/>
          <w:szCs w:val="24"/>
        </w:rPr>
      </w:pPr>
      <w:r w:rsidRPr="007D370A">
        <w:rPr>
          <w:rFonts w:cs="Arial"/>
          <w:noProof/>
          <w:szCs w:val="24"/>
        </w:rPr>
        <w:t xml:space="preserve">Jeong, G. T. (2021). Valorization of microalgae into 5-hydroxymethylfurfural by two-step conversion with ferric sulfate. </w:t>
      </w:r>
      <w:r w:rsidRPr="007D370A">
        <w:rPr>
          <w:rFonts w:cs="Arial"/>
          <w:i/>
          <w:iCs/>
          <w:noProof/>
          <w:szCs w:val="24"/>
        </w:rPr>
        <w:t>Journal of Environmental Management</w:t>
      </w:r>
      <w:r w:rsidRPr="007D370A">
        <w:rPr>
          <w:rFonts w:cs="Arial"/>
          <w:noProof/>
          <w:szCs w:val="24"/>
        </w:rPr>
        <w:t xml:space="preserve">, </w:t>
      </w:r>
      <w:r w:rsidRPr="007D370A">
        <w:rPr>
          <w:rFonts w:cs="Arial"/>
          <w:i/>
          <w:iCs/>
          <w:noProof/>
          <w:szCs w:val="24"/>
        </w:rPr>
        <w:t>293</w:t>
      </w:r>
      <w:r w:rsidRPr="007D370A">
        <w:rPr>
          <w:rFonts w:cs="Arial"/>
          <w:noProof/>
          <w:szCs w:val="24"/>
        </w:rPr>
        <w:t>(May), 112919. https://doi.org/10.1016/j.jenvman.2021.112919</w:t>
      </w:r>
    </w:p>
    <w:p w14:paraId="4D90825A" w14:textId="77777777" w:rsidR="007D370A" w:rsidRPr="007D370A" w:rsidRDefault="007D370A" w:rsidP="007D370A">
      <w:pPr>
        <w:widowControl w:val="0"/>
        <w:autoSpaceDE w:val="0"/>
        <w:autoSpaceDN w:val="0"/>
        <w:adjustRightInd w:val="0"/>
        <w:spacing w:line="240" w:lineRule="auto"/>
        <w:ind w:left="480" w:hanging="480"/>
        <w:rPr>
          <w:rFonts w:cs="Arial"/>
          <w:noProof/>
          <w:szCs w:val="24"/>
        </w:rPr>
      </w:pPr>
      <w:r w:rsidRPr="00B206D8">
        <w:rPr>
          <w:rFonts w:cs="Arial"/>
          <w:noProof/>
          <w:szCs w:val="24"/>
          <w:lang w:val="it-IT"/>
        </w:rPr>
        <w:t xml:space="preserve">Lima, S., Brucato, A., Caputo, G., Grisafi, F., &amp; Scargiali, F. (2022). </w:t>
      </w:r>
      <w:r w:rsidRPr="007D370A">
        <w:rPr>
          <w:rFonts w:cs="Arial"/>
          <w:noProof/>
          <w:szCs w:val="24"/>
        </w:rPr>
        <w:t xml:space="preserve">Inoculum of indigenous microalgae / activated sludge for optimal treatment of municipal wastewaters and biochemical composition of residual biomass for potential applications. </w:t>
      </w:r>
      <w:r w:rsidRPr="007D370A">
        <w:rPr>
          <w:rFonts w:cs="Arial"/>
          <w:i/>
          <w:iCs/>
          <w:noProof/>
          <w:szCs w:val="24"/>
        </w:rPr>
        <w:t>Journal of Water Process Engineering</w:t>
      </w:r>
      <w:r w:rsidRPr="007D370A">
        <w:rPr>
          <w:rFonts w:cs="Arial"/>
          <w:noProof/>
          <w:szCs w:val="24"/>
        </w:rPr>
        <w:t xml:space="preserve">, </w:t>
      </w:r>
      <w:r w:rsidRPr="007D370A">
        <w:rPr>
          <w:rFonts w:cs="Arial"/>
          <w:i/>
          <w:iCs/>
          <w:noProof/>
          <w:szCs w:val="24"/>
        </w:rPr>
        <w:t>49</w:t>
      </w:r>
      <w:r w:rsidRPr="007D370A">
        <w:rPr>
          <w:rFonts w:cs="Arial"/>
          <w:noProof/>
          <w:szCs w:val="24"/>
        </w:rPr>
        <w:t>(June), 103142. https://doi.org/10.1016/j.jwpe.2022.103142</w:t>
      </w:r>
    </w:p>
    <w:p w14:paraId="3BE597F4" w14:textId="77777777" w:rsidR="007D370A" w:rsidRPr="007D370A" w:rsidRDefault="007D370A" w:rsidP="007D370A">
      <w:pPr>
        <w:widowControl w:val="0"/>
        <w:autoSpaceDE w:val="0"/>
        <w:autoSpaceDN w:val="0"/>
        <w:adjustRightInd w:val="0"/>
        <w:spacing w:line="240" w:lineRule="auto"/>
        <w:ind w:left="480" w:hanging="480"/>
        <w:rPr>
          <w:rFonts w:cs="Arial"/>
          <w:noProof/>
          <w:szCs w:val="24"/>
        </w:rPr>
      </w:pPr>
      <w:r w:rsidRPr="00B206D8">
        <w:rPr>
          <w:rFonts w:cs="Arial"/>
          <w:noProof/>
          <w:szCs w:val="24"/>
          <w:lang w:val="it-IT"/>
        </w:rPr>
        <w:t xml:space="preserve">Lima, S., Villanova, V., Richiusa, M., Grisafi, F., Scargiali, F., &amp; Brucato, A. (2019). </w:t>
      </w:r>
      <w:r w:rsidRPr="007D370A">
        <w:rPr>
          <w:rFonts w:cs="Arial"/>
          <w:noProof/>
          <w:szCs w:val="24"/>
        </w:rPr>
        <w:t xml:space="preserve">Pollutants Removal from Municipal Sewage by Means of Microalgae. </w:t>
      </w:r>
      <w:r w:rsidRPr="007D370A">
        <w:rPr>
          <w:rFonts w:cs="Arial"/>
          <w:i/>
          <w:iCs/>
          <w:noProof/>
          <w:szCs w:val="24"/>
        </w:rPr>
        <w:t>CHEMICAL ENGINEERING TRANSACTIONS</w:t>
      </w:r>
      <w:r w:rsidRPr="007D370A">
        <w:rPr>
          <w:rFonts w:cs="Arial"/>
          <w:noProof/>
          <w:szCs w:val="24"/>
        </w:rPr>
        <w:t xml:space="preserve">, </w:t>
      </w:r>
      <w:r w:rsidRPr="007D370A">
        <w:rPr>
          <w:rFonts w:cs="Arial"/>
          <w:i/>
          <w:iCs/>
          <w:noProof/>
          <w:szCs w:val="24"/>
        </w:rPr>
        <w:t>74</w:t>
      </w:r>
      <w:r w:rsidRPr="007D370A">
        <w:rPr>
          <w:rFonts w:cs="Arial"/>
          <w:noProof/>
          <w:szCs w:val="24"/>
        </w:rPr>
        <w:t>, 1243–1248. https://doi.org/10.3303/CET1974208</w:t>
      </w:r>
    </w:p>
    <w:p w14:paraId="19C4FC68" w14:textId="41FBAAAA" w:rsidR="004628D2" w:rsidRDefault="007D370A" w:rsidP="00876584">
      <w:pPr>
        <w:widowControl w:val="0"/>
        <w:autoSpaceDE w:val="0"/>
        <w:autoSpaceDN w:val="0"/>
        <w:adjustRightInd w:val="0"/>
        <w:spacing w:line="240" w:lineRule="auto"/>
        <w:ind w:left="480" w:hanging="480"/>
      </w:pPr>
      <w:r w:rsidRPr="00B206D8">
        <w:rPr>
          <w:rFonts w:cs="Arial"/>
          <w:noProof/>
          <w:szCs w:val="24"/>
          <w:lang w:val="it-IT"/>
        </w:rPr>
        <w:t xml:space="preserve">Tong, X., Ma, Y., &amp; Li, Y. (2010). </w:t>
      </w:r>
      <w:r w:rsidRPr="007D370A">
        <w:rPr>
          <w:rFonts w:cs="Arial"/>
          <w:noProof/>
          <w:szCs w:val="24"/>
        </w:rPr>
        <w:t xml:space="preserve">Biomass into chemicals: Conversion of sugars to furan derivatives by catalytic processes. </w:t>
      </w:r>
      <w:r w:rsidRPr="007D370A">
        <w:rPr>
          <w:rFonts w:cs="Arial"/>
          <w:i/>
          <w:iCs/>
          <w:noProof/>
          <w:szCs w:val="24"/>
        </w:rPr>
        <w:t>Applied Catalysis A: General</w:t>
      </w:r>
      <w:r w:rsidRPr="007D370A">
        <w:rPr>
          <w:rFonts w:cs="Arial"/>
          <w:noProof/>
          <w:szCs w:val="24"/>
        </w:rPr>
        <w:t xml:space="preserve">, </w:t>
      </w:r>
      <w:r w:rsidRPr="007D370A">
        <w:rPr>
          <w:rFonts w:cs="Arial"/>
          <w:i/>
          <w:iCs/>
          <w:noProof/>
          <w:szCs w:val="24"/>
        </w:rPr>
        <w:t>385</w:t>
      </w:r>
      <w:r w:rsidRPr="007D370A">
        <w:rPr>
          <w:rFonts w:cs="Arial"/>
          <w:noProof/>
          <w:szCs w:val="24"/>
        </w:rPr>
        <w:t>(1–2), 1–13. https://doi.org/10.1016/j.apcata.2010.06.049</w:t>
      </w:r>
      <w:r w:rsidR="00C64885">
        <w:fldChar w:fldCharType="end"/>
      </w:r>
    </w:p>
    <w:sectPr w:rsidR="004628D2" w:rsidSect="00EF06D9">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2CEFE" w14:textId="77777777" w:rsidR="00611883" w:rsidRDefault="00611883" w:rsidP="004F5E36">
      <w:r>
        <w:separator/>
      </w:r>
    </w:p>
  </w:endnote>
  <w:endnote w:type="continuationSeparator" w:id="0">
    <w:p w14:paraId="41EBB01A" w14:textId="77777777" w:rsidR="00611883" w:rsidRDefault="00611883"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dvP6960">
    <w:altName w:val="Cambria"/>
    <w:panose1 w:val="00000000000000000000"/>
    <w:charset w:val="4D"/>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48963B" w14:textId="77777777" w:rsidR="00611883" w:rsidRDefault="00611883" w:rsidP="004F5E36">
      <w:r>
        <w:separator/>
      </w:r>
    </w:p>
  </w:footnote>
  <w:footnote w:type="continuationSeparator" w:id="0">
    <w:p w14:paraId="39D2A671" w14:textId="77777777" w:rsidR="00611883" w:rsidRDefault="00611883"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8"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040781435">
    <w:abstractNumId w:val="10"/>
  </w:num>
  <w:num w:numId="2" w16cid:durableId="1364749818">
    <w:abstractNumId w:val="8"/>
  </w:num>
  <w:num w:numId="3" w16cid:durableId="1418406927">
    <w:abstractNumId w:val="3"/>
  </w:num>
  <w:num w:numId="4" w16cid:durableId="232666871">
    <w:abstractNumId w:val="2"/>
  </w:num>
  <w:num w:numId="5" w16cid:durableId="890845242">
    <w:abstractNumId w:val="1"/>
  </w:num>
  <w:num w:numId="6" w16cid:durableId="617495016">
    <w:abstractNumId w:val="0"/>
  </w:num>
  <w:num w:numId="7" w16cid:durableId="1233278667">
    <w:abstractNumId w:val="9"/>
  </w:num>
  <w:num w:numId="8" w16cid:durableId="1023626416">
    <w:abstractNumId w:val="7"/>
  </w:num>
  <w:num w:numId="9" w16cid:durableId="2089233451">
    <w:abstractNumId w:val="6"/>
  </w:num>
  <w:num w:numId="10" w16cid:durableId="1116363196">
    <w:abstractNumId w:val="5"/>
  </w:num>
  <w:num w:numId="11" w16cid:durableId="399642294">
    <w:abstractNumId w:val="4"/>
  </w:num>
  <w:num w:numId="12" w16cid:durableId="1737506856">
    <w:abstractNumId w:val="17"/>
  </w:num>
  <w:num w:numId="13" w16cid:durableId="1458833921">
    <w:abstractNumId w:val="12"/>
  </w:num>
  <w:num w:numId="14" w16cid:durableId="1187871079">
    <w:abstractNumId w:val="18"/>
  </w:num>
  <w:num w:numId="15" w16cid:durableId="1307661533">
    <w:abstractNumId w:val="20"/>
  </w:num>
  <w:num w:numId="16" w16cid:durableId="31350103">
    <w:abstractNumId w:val="19"/>
  </w:num>
  <w:num w:numId="17" w16cid:durableId="1366178207">
    <w:abstractNumId w:val="11"/>
  </w:num>
  <w:num w:numId="18" w16cid:durableId="846023263">
    <w:abstractNumId w:val="12"/>
    <w:lvlOverride w:ilvl="0">
      <w:startOverride w:val="1"/>
    </w:lvlOverride>
  </w:num>
  <w:num w:numId="19" w16cid:durableId="593961">
    <w:abstractNumId w:val="16"/>
  </w:num>
  <w:num w:numId="20" w16cid:durableId="1787626392">
    <w:abstractNumId w:val="15"/>
  </w:num>
  <w:num w:numId="21" w16cid:durableId="2033799533">
    <w:abstractNumId w:val="14"/>
  </w:num>
  <w:num w:numId="22" w16cid:durableId="165702626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52FB"/>
    <w:rsid w:val="000117CB"/>
    <w:rsid w:val="0003148D"/>
    <w:rsid w:val="00031EEC"/>
    <w:rsid w:val="000345EE"/>
    <w:rsid w:val="00051566"/>
    <w:rsid w:val="000562A9"/>
    <w:rsid w:val="00062A9A"/>
    <w:rsid w:val="00065058"/>
    <w:rsid w:val="00065781"/>
    <w:rsid w:val="00080B32"/>
    <w:rsid w:val="00086C39"/>
    <w:rsid w:val="000A03B2"/>
    <w:rsid w:val="000B517C"/>
    <w:rsid w:val="000D0268"/>
    <w:rsid w:val="000D34BE"/>
    <w:rsid w:val="000E102F"/>
    <w:rsid w:val="000E23E5"/>
    <w:rsid w:val="000E36F1"/>
    <w:rsid w:val="000E3A73"/>
    <w:rsid w:val="000E414A"/>
    <w:rsid w:val="000F093C"/>
    <w:rsid w:val="000F4704"/>
    <w:rsid w:val="000F787B"/>
    <w:rsid w:val="001165AC"/>
    <w:rsid w:val="0012091F"/>
    <w:rsid w:val="00126BC2"/>
    <w:rsid w:val="00126DA8"/>
    <w:rsid w:val="001308B6"/>
    <w:rsid w:val="0013121F"/>
    <w:rsid w:val="00131484"/>
    <w:rsid w:val="00131FE6"/>
    <w:rsid w:val="0013263F"/>
    <w:rsid w:val="001331DF"/>
    <w:rsid w:val="00134CDE"/>
    <w:rsid w:val="00134DE4"/>
    <w:rsid w:val="0014034D"/>
    <w:rsid w:val="00144D16"/>
    <w:rsid w:val="00150E59"/>
    <w:rsid w:val="00152DE3"/>
    <w:rsid w:val="00164CF9"/>
    <w:rsid w:val="001667A6"/>
    <w:rsid w:val="00184AD6"/>
    <w:rsid w:val="001A0A22"/>
    <w:rsid w:val="001A0AF6"/>
    <w:rsid w:val="001A4AF7"/>
    <w:rsid w:val="001A4EAC"/>
    <w:rsid w:val="001B0349"/>
    <w:rsid w:val="001B1E93"/>
    <w:rsid w:val="001B65C1"/>
    <w:rsid w:val="001C684B"/>
    <w:rsid w:val="001D0CFB"/>
    <w:rsid w:val="001D21AF"/>
    <w:rsid w:val="001D24D2"/>
    <w:rsid w:val="001D53FC"/>
    <w:rsid w:val="001F42A5"/>
    <w:rsid w:val="001F7B9D"/>
    <w:rsid w:val="0020177A"/>
    <w:rsid w:val="00201C93"/>
    <w:rsid w:val="00216D9C"/>
    <w:rsid w:val="002224B4"/>
    <w:rsid w:val="002369C4"/>
    <w:rsid w:val="002447EF"/>
    <w:rsid w:val="00245ADB"/>
    <w:rsid w:val="00251550"/>
    <w:rsid w:val="0026003F"/>
    <w:rsid w:val="00263B05"/>
    <w:rsid w:val="0027221A"/>
    <w:rsid w:val="00275B61"/>
    <w:rsid w:val="00280FAF"/>
    <w:rsid w:val="00282656"/>
    <w:rsid w:val="002834E8"/>
    <w:rsid w:val="00296B83"/>
    <w:rsid w:val="002A4793"/>
    <w:rsid w:val="002B4015"/>
    <w:rsid w:val="002B78CE"/>
    <w:rsid w:val="002C2FB6"/>
    <w:rsid w:val="002E5FA7"/>
    <w:rsid w:val="002F0D72"/>
    <w:rsid w:val="002F3309"/>
    <w:rsid w:val="003008CE"/>
    <w:rsid w:val="003009B7"/>
    <w:rsid w:val="00300E56"/>
    <w:rsid w:val="0030152C"/>
    <w:rsid w:val="0030469C"/>
    <w:rsid w:val="00321CA6"/>
    <w:rsid w:val="00323763"/>
    <w:rsid w:val="00323C5F"/>
    <w:rsid w:val="00324482"/>
    <w:rsid w:val="00334C09"/>
    <w:rsid w:val="00362145"/>
    <w:rsid w:val="003723D4"/>
    <w:rsid w:val="00381905"/>
    <w:rsid w:val="00384CC8"/>
    <w:rsid w:val="003871FD"/>
    <w:rsid w:val="003A1E30"/>
    <w:rsid w:val="003A2829"/>
    <w:rsid w:val="003A6FC6"/>
    <w:rsid w:val="003A7D1C"/>
    <w:rsid w:val="003B304B"/>
    <w:rsid w:val="003B3146"/>
    <w:rsid w:val="003E7DB2"/>
    <w:rsid w:val="003F015E"/>
    <w:rsid w:val="003F2AE0"/>
    <w:rsid w:val="00400414"/>
    <w:rsid w:val="0041446B"/>
    <w:rsid w:val="00431A37"/>
    <w:rsid w:val="0044071E"/>
    <w:rsid w:val="0044329C"/>
    <w:rsid w:val="00453E24"/>
    <w:rsid w:val="00457456"/>
    <w:rsid w:val="004577FE"/>
    <w:rsid w:val="00457B9C"/>
    <w:rsid w:val="0046164A"/>
    <w:rsid w:val="004628D2"/>
    <w:rsid w:val="00462DCD"/>
    <w:rsid w:val="004648AD"/>
    <w:rsid w:val="004703A9"/>
    <w:rsid w:val="004760DE"/>
    <w:rsid w:val="004763D7"/>
    <w:rsid w:val="00476C5D"/>
    <w:rsid w:val="004827B2"/>
    <w:rsid w:val="004A004E"/>
    <w:rsid w:val="004A089C"/>
    <w:rsid w:val="004A24CF"/>
    <w:rsid w:val="004A2992"/>
    <w:rsid w:val="004A7974"/>
    <w:rsid w:val="004C3D1D"/>
    <w:rsid w:val="004C3D84"/>
    <w:rsid w:val="004C7913"/>
    <w:rsid w:val="004E4DD6"/>
    <w:rsid w:val="004E6BAC"/>
    <w:rsid w:val="004F5E36"/>
    <w:rsid w:val="00500AB0"/>
    <w:rsid w:val="00507B47"/>
    <w:rsid w:val="00507BEF"/>
    <w:rsid w:val="00507CC9"/>
    <w:rsid w:val="005119A5"/>
    <w:rsid w:val="00516AAC"/>
    <w:rsid w:val="005202FA"/>
    <w:rsid w:val="005278B7"/>
    <w:rsid w:val="00532016"/>
    <w:rsid w:val="005346C8"/>
    <w:rsid w:val="00541022"/>
    <w:rsid w:val="00543E7D"/>
    <w:rsid w:val="00547A68"/>
    <w:rsid w:val="00551AC5"/>
    <w:rsid w:val="005531C9"/>
    <w:rsid w:val="0056773A"/>
    <w:rsid w:val="00570C43"/>
    <w:rsid w:val="005B2110"/>
    <w:rsid w:val="005B61E6"/>
    <w:rsid w:val="005C77E1"/>
    <w:rsid w:val="005D668A"/>
    <w:rsid w:val="005D6A2F"/>
    <w:rsid w:val="005E1A82"/>
    <w:rsid w:val="005E794C"/>
    <w:rsid w:val="005E7C48"/>
    <w:rsid w:val="005F0A28"/>
    <w:rsid w:val="005F0E5E"/>
    <w:rsid w:val="005F49A2"/>
    <w:rsid w:val="00600535"/>
    <w:rsid w:val="00600794"/>
    <w:rsid w:val="00601490"/>
    <w:rsid w:val="00610CD6"/>
    <w:rsid w:val="00611883"/>
    <w:rsid w:val="0061411F"/>
    <w:rsid w:val="00620DEE"/>
    <w:rsid w:val="00621F92"/>
    <w:rsid w:val="0062280A"/>
    <w:rsid w:val="00625639"/>
    <w:rsid w:val="006307C6"/>
    <w:rsid w:val="00631B33"/>
    <w:rsid w:val="0064184D"/>
    <w:rsid w:val="006422CC"/>
    <w:rsid w:val="00660E3E"/>
    <w:rsid w:val="00662E74"/>
    <w:rsid w:val="00680C23"/>
    <w:rsid w:val="00693766"/>
    <w:rsid w:val="006A3281"/>
    <w:rsid w:val="006B4888"/>
    <w:rsid w:val="006C2E45"/>
    <w:rsid w:val="006C359C"/>
    <w:rsid w:val="006C5579"/>
    <w:rsid w:val="006C6629"/>
    <w:rsid w:val="006D0912"/>
    <w:rsid w:val="006D6E8B"/>
    <w:rsid w:val="006E1C2E"/>
    <w:rsid w:val="006E737D"/>
    <w:rsid w:val="00713973"/>
    <w:rsid w:val="00720A24"/>
    <w:rsid w:val="00726C2F"/>
    <w:rsid w:val="00732386"/>
    <w:rsid w:val="0073514D"/>
    <w:rsid w:val="007440B2"/>
    <w:rsid w:val="007447F3"/>
    <w:rsid w:val="0075499F"/>
    <w:rsid w:val="0075687A"/>
    <w:rsid w:val="007661C8"/>
    <w:rsid w:val="00770249"/>
    <w:rsid w:val="0077098D"/>
    <w:rsid w:val="0078421D"/>
    <w:rsid w:val="007931FA"/>
    <w:rsid w:val="007A4861"/>
    <w:rsid w:val="007A7BBA"/>
    <w:rsid w:val="007B0C50"/>
    <w:rsid w:val="007B48F9"/>
    <w:rsid w:val="007C1A43"/>
    <w:rsid w:val="007C28EA"/>
    <w:rsid w:val="007C6B0F"/>
    <w:rsid w:val="007D0951"/>
    <w:rsid w:val="007D370A"/>
    <w:rsid w:val="007D651A"/>
    <w:rsid w:val="007E6FBD"/>
    <w:rsid w:val="0080013E"/>
    <w:rsid w:val="00804F17"/>
    <w:rsid w:val="008100EF"/>
    <w:rsid w:val="00813288"/>
    <w:rsid w:val="008168FC"/>
    <w:rsid w:val="00822223"/>
    <w:rsid w:val="00830996"/>
    <w:rsid w:val="008345F1"/>
    <w:rsid w:val="00865B07"/>
    <w:rsid w:val="008667EA"/>
    <w:rsid w:val="008712A9"/>
    <w:rsid w:val="0087209C"/>
    <w:rsid w:val="00874FDF"/>
    <w:rsid w:val="0087637F"/>
    <w:rsid w:val="00876584"/>
    <w:rsid w:val="00892AD5"/>
    <w:rsid w:val="008A1512"/>
    <w:rsid w:val="008A28AF"/>
    <w:rsid w:val="008B7C03"/>
    <w:rsid w:val="008C5BBF"/>
    <w:rsid w:val="008D32B9"/>
    <w:rsid w:val="008D433B"/>
    <w:rsid w:val="008D4A16"/>
    <w:rsid w:val="008D65FD"/>
    <w:rsid w:val="008D6A3F"/>
    <w:rsid w:val="008E192E"/>
    <w:rsid w:val="008E3B64"/>
    <w:rsid w:val="008E566E"/>
    <w:rsid w:val="008F6062"/>
    <w:rsid w:val="0090161A"/>
    <w:rsid w:val="00901EB6"/>
    <w:rsid w:val="00904C62"/>
    <w:rsid w:val="00913403"/>
    <w:rsid w:val="00922BA8"/>
    <w:rsid w:val="00924DAC"/>
    <w:rsid w:val="00927058"/>
    <w:rsid w:val="00927528"/>
    <w:rsid w:val="00932BE5"/>
    <w:rsid w:val="00942750"/>
    <w:rsid w:val="009450CE"/>
    <w:rsid w:val="009459BB"/>
    <w:rsid w:val="00947179"/>
    <w:rsid w:val="0095164B"/>
    <w:rsid w:val="00954090"/>
    <w:rsid w:val="009573E7"/>
    <w:rsid w:val="00963E05"/>
    <w:rsid w:val="00964A45"/>
    <w:rsid w:val="00967843"/>
    <w:rsid w:val="00967D54"/>
    <w:rsid w:val="00971028"/>
    <w:rsid w:val="00993B84"/>
    <w:rsid w:val="00996483"/>
    <w:rsid w:val="00996F5A"/>
    <w:rsid w:val="009B041A"/>
    <w:rsid w:val="009B196E"/>
    <w:rsid w:val="009C2041"/>
    <w:rsid w:val="009C37C3"/>
    <w:rsid w:val="009C7C86"/>
    <w:rsid w:val="009D2FF7"/>
    <w:rsid w:val="009E7884"/>
    <w:rsid w:val="009E788A"/>
    <w:rsid w:val="009F0E08"/>
    <w:rsid w:val="00A0124B"/>
    <w:rsid w:val="00A1763D"/>
    <w:rsid w:val="00A17CEC"/>
    <w:rsid w:val="00A27EF0"/>
    <w:rsid w:val="00A42361"/>
    <w:rsid w:val="00A50B20"/>
    <w:rsid w:val="00A51390"/>
    <w:rsid w:val="00A60D13"/>
    <w:rsid w:val="00A7223D"/>
    <w:rsid w:val="00A72745"/>
    <w:rsid w:val="00A76EFC"/>
    <w:rsid w:val="00A81356"/>
    <w:rsid w:val="00A87D50"/>
    <w:rsid w:val="00A91010"/>
    <w:rsid w:val="00A97F29"/>
    <w:rsid w:val="00AA702E"/>
    <w:rsid w:val="00AA7D26"/>
    <w:rsid w:val="00AB0964"/>
    <w:rsid w:val="00AB5011"/>
    <w:rsid w:val="00AB64B4"/>
    <w:rsid w:val="00AC7368"/>
    <w:rsid w:val="00AD16B9"/>
    <w:rsid w:val="00AE377D"/>
    <w:rsid w:val="00AF0EBA"/>
    <w:rsid w:val="00B029B4"/>
    <w:rsid w:val="00B02C8A"/>
    <w:rsid w:val="00B17FBD"/>
    <w:rsid w:val="00B206D8"/>
    <w:rsid w:val="00B30C6B"/>
    <w:rsid w:val="00B315A6"/>
    <w:rsid w:val="00B31813"/>
    <w:rsid w:val="00B33365"/>
    <w:rsid w:val="00B57B36"/>
    <w:rsid w:val="00B57E6F"/>
    <w:rsid w:val="00B61BE6"/>
    <w:rsid w:val="00B61EAF"/>
    <w:rsid w:val="00B8686D"/>
    <w:rsid w:val="00B91A3E"/>
    <w:rsid w:val="00B93F69"/>
    <w:rsid w:val="00BA09D9"/>
    <w:rsid w:val="00BB1DDC"/>
    <w:rsid w:val="00BC30C9"/>
    <w:rsid w:val="00BC3532"/>
    <w:rsid w:val="00BD077D"/>
    <w:rsid w:val="00BE3E58"/>
    <w:rsid w:val="00C01616"/>
    <w:rsid w:val="00C0162B"/>
    <w:rsid w:val="00C068ED"/>
    <w:rsid w:val="00C130DD"/>
    <w:rsid w:val="00C22E0C"/>
    <w:rsid w:val="00C345B1"/>
    <w:rsid w:val="00C3472D"/>
    <w:rsid w:val="00C40142"/>
    <w:rsid w:val="00C5231B"/>
    <w:rsid w:val="00C52C3C"/>
    <w:rsid w:val="00C57182"/>
    <w:rsid w:val="00C57863"/>
    <w:rsid w:val="00C640AF"/>
    <w:rsid w:val="00C64885"/>
    <w:rsid w:val="00C655FD"/>
    <w:rsid w:val="00C75407"/>
    <w:rsid w:val="00C870A8"/>
    <w:rsid w:val="00C94038"/>
    <w:rsid w:val="00C94434"/>
    <w:rsid w:val="00CA0D4A"/>
    <w:rsid w:val="00CA0D75"/>
    <w:rsid w:val="00CA1C95"/>
    <w:rsid w:val="00CA5A9C"/>
    <w:rsid w:val="00CC4C20"/>
    <w:rsid w:val="00CD3517"/>
    <w:rsid w:val="00CD40E9"/>
    <w:rsid w:val="00CD5FE2"/>
    <w:rsid w:val="00CE7C68"/>
    <w:rsid w:val="00D02B4C"/>
    <w:rsid w:val="00D040C4"/>
    <w:rsid w:val="00D20AD1"/>
    <w:rsid w:val="00D46B7E"/>
    <w:rsid w:val="00D57C84"/>
    <w:rsid w:val="00D6057D"/>
    <w:rsid w:val="00D60B6D"/>
    <w:rsid w:val="00D621CE"/>
    <w:rsid w:val="00D648EC"/>
    <w:rsid w:val="00D7076C"/>
    <w:rsid w:val="00D71640"/>
    <w:rsid w:val="00D73298"/>
    <w:rsid w:val="00D836C5"/>
    <w:rsid w:val="00D84576"/>
    <w:rsid w:val="00DA1399"/>
    <w:rsid w:val="00DA24C6"/>
    <w:rsid w:val="00DA4D7B"/>
    <w:rsid w:val="00DC6CDE"/>
    <w:rsid w:val="00DD271C"/>
    <w:rsid w:val="00DE264A"/>
    <w:rsid w:val="00DF31D7"/>
    <w:rsid w:val="00DF3FF8"/>
    <w:rsid w:val="00DF5072"/>
    <w:rsid w:val="00E02658"/>
    <w:rsid w:val="00E02D18"/>
    <w:rsid w:val="00E03D3F"/>
    <w:rsid w:val="00E041E7"/>
    <w:rsid w:val="00E047E5"/>
    <w:rsid w:val="00E20F99"/>
    <w:rsid w:val="00E23CA1"/>
    <w:rsid w:val="00E31C32"/>
    <w:rsid w:val="00E33DD7"/>
    <w:rsid w:val="00E409A8"/>
    <w:rsid w:val="00E43F47"/>
    <w:rsid w:val="00E50C12"/>
    <w:rsid w:val="00E65B91"/>
    <w:rsid w:val="00E7209D"/>
    <w:rsid w:val="00E72EAD"/>
    <w:rsid w:val="00E75D47"/>
    <w:rsid w:val="00E77223"/>
    <w:rsid w:val="00E82C4B"/>
    <w:rsid w:val="00E8528B"/>
    <w:rsid w:val="00E85B94"/>
    <w:rsid w:val="00E90096"/>
    <w:rsid w:val="00E978D0"/>
    <w:rsid w:val="00E97D0D"/>
    <w:rsid w:val="00EA4613"/>
    <w:rsid w:val="00EA7419"/>
    <w:rsid w:val="00EA7F91"/>
    <w:rsid w:val="00EB1523"/>
    <w:rsid w:val="00EB6F7C"/>
    <w:rsid w:val="00EC0E49"/>
    <w:rsid w:val="00EC101F"/>
    <w:rsid w:val="00EC1D9F"/>
    <w:rsid w:val="00EC24AF"/>
    <w:rsid w:val="00EE0131"/>
    <w:rsid w:val="00EE17B0"/>
    <w:rsid w:val="00EE1FB6"/>
    <w:rsid w:val="00EF06D9"/>
    <w:rsid w:val="00EF44B2"/>
    <w:rsid w:val="00EF6B3D"/>
    <w:rsid w:val="00F0290B"/>
    <w:rsid w:val="00F1532F"/>
    <w:rsid w:val="00F3049E"/>
    <w:rsid w:val="00F30C64"/>
    <w:rsid w:val="00F32BA2"/>
    <w:rsid w:val="00F32CDB"/>
    <w:rsid w:val="00F342FA"/>
    <w:rsid w:val="00F565FE"/>
    <w:rsid w:val="00F63A70"/>
    <w:rsid w:val="00F63D8C"/>
    <w:rsid w:val="00F7534E"/>
    <w:rsid w:val="00F93EDF"/>
    <w:rsid w:val="00FA1802"/>
    <w:rsid w:val="00FA21D0"/>
    <w:rsid w:val="00FA5F5F"/>
    <w:rsid w:val="00FB730C"/>
    <w:rsid w:val="00FC2695"/>
    <w:rsid w:val="00FC3E03"/>
    <w:rsid w:val="00FC3FC1"/>
    <w:rsid w:val="00FF1BBB"/>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E0CC22"/>
  <w14:defaultImageDpi w14:val="330"/>
  <w15:docId w15:val="{0B95FB59-9D38-42B5-B090-D2348EE1E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Paragrafoelenco">
    <w:name w:val="List Paragraph"/>
    <w:basedOn w:val="Normale"/>
    <w:uiPriority w:val="34"/>
    <w:rsid w:val="00280FAF"/>
    <w:pPr>
      <w:ind w:left="720"/>
      <w:contextualSpacing/>
    </w:pPr>
  </w:style>
  <w:style w:type="paragraph" w:styleId="Revisione">
    <w:name w:val="Revision"/>
    <w:hidden/>
    <w:uiPriority w:val="99"/>
    <w:semiHidden/>
    <w:rsid w:val="001A0AF6"/>
    <w:pPr>
      <w:spacing w:after="0" w:line="240" w:lineRule="auto"/>
    </w:pPr>
    <w:rPr>
      <w:rFonts w:ascii="Arial" w:eastAsia="Times New Roman" w:hAnsi="Arial" w:cs="Times New Roman"/>
      <w:sz w:val="18"/>
      <w:szCs w:val="20"/>
      <w:lang w:val="en-GB"/>
    </w:rPr>
  </w:style>
  <w:style w:type="character" w:customStyle="1" w:styleId="cf01">
    <w:name w:val="cf01"/>
    <w:basedOn w:val="Carpredefinitoparagrafo"/>
    <w:rsid w:val="00541022"/>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G:\Il%20mio%20Drive\universit&#224;\tesisti\tea%20ricotta\HMF%20da%20defatted\HMF.xlsx"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5"/>
          <c:order val="0"/>
          <c:spPr>
            <a:ln w="19050" cap="rnd">
              <a:noFill/>
              <a:round/>
            </a:ln>
            <a:effectLst/>
          </c:spPr>
          <c:marker>
            <c:symbol val="circle"/>
            <c:size val="5"/>
            <c:spPr>
              <a:solidFill>
                <a:schemeClr val="accent6"/>
              </a:solidFill>
              <a:ln w="9525">
                <a:solidFill>
                  <a:schemeClr val="accent6"/>
                </a:solidFill>
              </a:ln>
              <a:effectLst/>
            </c:spPr>
          </c:marker>
          <c:trendline>
            <c:spPr>
              <a:ln w="19050" cap="rnd">
                <a:solidFill>
                  <a:schemeClr val="accent6"/>
                </a:solidFill>
                <a:prstDash val="sysDot"/>
              </a:ln>
              <a:effectLst/>
            </c:spPr>
            <c:trendlineType val="poly"/>
            <c:order val="5"/>
            <c:dispRSqr val="0"/>
            <c:dispEq val="0"/>
          </c:trendline>
          <c:trendline>
            <c:spPr>
              <a:ln w="19050" cap="rnd">
                <a:solidFill>
                  <a:schemeClr val="accent6"/>
                </a:solidFill>
                <a:prstDash val="sysDot"/>
              </a:ln>
              <a:effectLst/>
            </c:spPr>
            <c:trendlineType val="log"/>
            <c:dispRSqr val="0"/>
            <c:dispEq val="0"/>
          </c:trendline>
          <c:errBars>
            <c:errDir val="x"/>
            <c:errBarType val="both"/>
            <c:errValType val="fixedVal"/>
            <c:noEndCap val="0"/>
            <c:val val="0"/>
            <c:spPr>
              <a:noFill/>
              <a:ln w="9525" cap="flat" cmpd="sng" algn="ctr">
                <a:solidFill>
                  <a:schemeClr val="tx1">
                    <a:lumMod val="65000"/>
                    <a:lumOff val="35000"/>
                  </a:schemeClr>
                </a:solidFill>
                <a:round/>
              </a:ln>
              <a:effectLst/>
            </c:spPr>
          </c:errBars>
          <c:errBars>
            <c:errDir val="y"/>
            <c:errBarType val="both"/>
            <c:errValType val="cust"/>
            <c:noEndCap val="0"/>
            <c:plus>
              <c:numRef>
                <c:f>Raceway1!$M$4:$M$22</c:f>
                <c:numCache>
                  <c:formatCode>General</c:formatCode>
                  <c:ptCount val="19"/>
                  <c:pt idx="0">
                    <c:v>1.7321166633991469E-3</c:v>
                  </c:pt>
                  <c:pt idx="1">
                    <c:v>4.1428152339321133E-4</c:v>
                  </c:pt>
                  <c:pt idx="2">
                    <c:v>1.5800334318720463E-4</c:v>
                  </c:pt>
                  <c:pt idx="3">
                    <c:v>0</c:v>
                  </c:pt>
                  <c:pt idx="4">
                    <c:v>4.8190567887641112E-4</c:v>
                  </c:pt>
                  <c:pt idx="5">
                    <c:v>2.6853584228103229E-3</c:v>
                  </c:pt>
                  <c:pt idx="6">
                    <c:v>2.6372971363926713E-3</c:v>
                  </c:pt>
                  <c:pt idx="7">
                    <c:v>1.1006195940620597E-3</c:v>
                  </c:pt>
                  <c:pt idx="8">
                    <c:v>4.6533851412394762E-3</c:v>
                  </c:pt>
                  <c:pt idx="9">
                    <c:v>4.0527875296670806E-3</c:v>
                  </c:pt>
                  <c:pt idx="10">
                    <c:v>0</c:v>
                  </c:pt>
                  <c:pt idx="11">
                    <c:v>1.042585637070165E-3</c:v>
                  </c:pt>
                  <c:pt idx="12">
                    <c:v>1.2046344463674428E-3</c:v>
                  </c:pt>
                  <c:pt idx="13">
                    <c:v>2.9276513663899603E-3</c:v>
                  </c:pt>
                  <c:pt idx="14">
                    <c:v>3.8155561446694846E-3</c:v>
                  </c:pt>
                  <c:pt idx="15">
                    <c:v>2.1796988193612883E-3</c:v>
                  </c:pt>
                  <c:pt idx="16">
                    <c:v>2.562923873519907E-3</c:v>
                  </c:pt>
                  <c:pt idx="17">
                    <c:v>5.5046518627997571E-3</c:v>
                  </c:pt>
                  <c:pt idx="18">
                    <c:v>4.7063490717549261E-3</c:v>
                  </c:pt>
                </c:numCache>
              </c:numRef>
            </c:plus>
            <c:minus>
              <c:numRef>
                <c:f>Raceway1!$M$4:$M$22</c:f>
                <c:numCache>
                  <c:formatCode>General</c:formatCode>
                  <c:ptCount val="19"/>
                  <c:pt idx="0">
                    <c:v>1.7321166633991469E-3</c:v>
                  </c:pt>
                  <c:pt idx="1">
                    <c:v>4.1428152339321133E-4</c:v>
                  </c:pt>
                  <c:pt idx="2">
                    <c:v>1.5800334318720463E-4</c:v>
                  </c:pt>
                  <c:pt idx="3">
                    <c:v>0</c:v>
                  </c:pt>
                  <c:pt idx="4">
                    <c:v>4.8190567887641112E-4</c:v>
                  </c:pt>
                  <c:pt idx="5">
                    <c:v>2.6853584228103229E-3</c:v>
                  </c:pt>
                  <c:pt idx="6">
                    <c:v>2.6372971363926713E-3</c:v>
                  </c:pt>
                  <c:pt idx="7">
                    <c:v>1.1006195940620597E-3</c:v>
                  </c:pt>
                  <c:pt idx="8">
                    <c:v>4.6533851412394762E-3</c:v>
                  </c:pt>
                  <c:pt idx="9">
                    <c:v>4.0527875296670806E-3</c:v>
                  </c:pt>
                  <c:pt idx="10">
                    <c:v>0</c:v>
                  </c:pt>
                  <c:pt idx="11">
                    <c:v>1.042585637070165E-3</c:v>
                  </c:pt>
                  <c:pt idx="12">
                    <c:v>1.2046344463674428E-3</c:v>
                  </c:pt>
                  <c:pt idx="13">
                    <c:v>2.9276513663899603E-3</c:v>
                  </c:pt>
                  <c:pt idx="14">
                    <c:v>3.8155561446694846E-3</c:v>
                  </c:pt>
                  <c:pt idx="15">
                    <c:v>2.1796988193612883E-3</c:v>
                  </c:pt>
                  <c:pt idx="16">
                    <c:v>2.562923873519907E-3</c:v>
                  </c:pt>
                  <c:pt idx="17">
                    <c:v>5.5046518627997571E-3</c:v>
                  </c:pt>
                  <c:pt idx="18">
                    <c:v>4.7063490717549261E-3</c:v>
                  </c:pt>
                </c:numCache>
              </c:numRef>
            </c:minus>
            <c:spPr>
              <a:noFill/>
              <a:ln w="9525" cap="flat" cmpd="sng" algn="ctr">
                <a:solidFill>
                  <a:schemeClr val="tx1">
                    <a:lumMod val="65000"/>
                    <a:lumOff val="35000"/>
                  </a:schemeClr>
                </a:solidFill>
                <a:round/>
              </a:ln>
              <a:effectLst/>
            </c:spPr>
          </c:errBars>
          <c:xVal>
            <c:numRef>
              <c:f>Raceway1!$D$4:$D$23</c:f>
              <c:numCache>
                <c:formatCode>General</c:formatCode>
                <c:ptCount val="20"/>
                <c:pt idx="0">
                  <c:v>0</c:v>
                </c:pt>
                <c:pt idx="1">
                  <c:v>8.3333333333333329E-2</c:v>
                </c:pt>
                <c:pt idx="2">
                  <c:v>0.14583333333333334</c:v>
                </c:pt>
                <c:pt idx="3">
                  <c:v>0.33333333333333331</c:v>
                </c:pt>
                <c:pt idx="4">
                  <c:v>0.45833333333333331</c:v>
                </c:pt>
                <c:pt idx="5">
                  <c:v>0.97916666666666663</c:v>
                </c:pt>
                <c:pt idx="6">
                  <c:v>1.125</c:v>
                </c:pt>
                <c:pt idx="7">
                  <c:v>1.2291666666666667</c:v>
                </c:pt>
                <c:pt idx="8">
                  <c:v>1.9583333333333333</c:v>
                </c:pt>
                <c:pt idx="9">
                  <c:v>2.1041666666666665</c:v>
                </c:pt>
                <c:pt idx="10">
                  <c:v>2.3541666666666665</c:v>
                </c:pt>
                <c:pt idx="11">
                  <c:v>3.0625</c:v>
                </c:pt>
                <c:pt idx="12">
                  <c:v>3.9166666666666665</c:v>
                </c:pt>
                <c:pt idx="13">
                  <c:v>4.104166666666667</c:v>
                </c:pt>
                <c:pt idx="14">
                  <c:v>6.916666666666667</c:v>
                </c:pt>
                <c:pt idx="15">
                  <c:v>7.083333333333333</c:v>
                </c:pt>
                <c:pt idx="16">
                  <c:v>9.0416666666666661</c:v>
                </c:pt>
                <c:pt idx="17">
                  <c:v>10.020833333333334</c:v>
                </c:pt>
                <c:pt idx="18">
                  <c:v>11</c:v>
                </c:pt>
              </c:numCache>
            </c:numRef>
          </c:xVal>
          <c:yVal>
            <c:numRef>
              <c:f>Raceway1!$L$4:$L$22</c:f>
              <c:numCache>
                <c:formatCode>0.00</c:formatCode>
                <c:ptCount val="19"/>
                <c:pt idx="0">
                  <c:v>4.4954725000000008E-2</c:v>
                </c:pt>
                <c:pt idx="1">
                  <c:v>4.6135374999999999E-2</c:v>
                </c:pt>
                <c:pt idx="2">
                  <c:v>4.5930883333333339E-2</c:v>
                </c:pt>
                <c:pt idx="3">
                  <c:v>4.6737275000000002E-2</c:v>
                </c:pt>
                <c:pt idx="4">
                  <c:v>4.7157833333333336E-2</c:v>
                </c:pt>
                <c:pt idx="5">
                  <c:v>5.6371533333333335E-2</c:v>
                </c:pt>
                <c:pt idx="6">
                  <c:v>5.9840175000000002E-2</c:v>
                </c:pt>
                <c:pt idx="7">
                  <c:v>6.1522408333333334E-2</c:v>
                </c:pt>
                <c:pt idx="8">
                  <c:v>7.944050833333334E-2</c:v>
                </c:pt>
                <c:pt idx="9">
                  <c:v>7.0697524999999997E-2</c:v>
                </c:pt>
                <c:pt idx="10">
                  <c:v>6.9621050000000004E-2</c:v>
                </c:pt>
                <c:pt idx="11">
                  <c:v>7.4320499999999998E-2</c:v>
                </c:pt>
                <c:pt idx="12">
                  <c:v>7.7457325000000007E-2</c:v>
                </c:pt>
                <c:pt idx="13">
                  <c:v>7.8475924999999988E-2</c:v>
                </c:pt>
                <c:pt idx="14">
                  <c:v>0.13198715000000003</c:v>
                </c:pt>
                <c:pt idx="15">
                  <c:v>0.13988130000000001</c:v>
                </c:pt>
                <c:pt idx="16">
                  <c:v>0.18598066666666666</c:v>
                </c:pt>
                <c:pt idx="17">
                  <c:v>0.21214402500000004</c:v>
                </c:pt>
                <c:pt idx="18">
                  <c:v>0.22308625833333337</c:v>
                </c:pt>
              </c:numCache>
            </c:numRef>
          </c:yVal>
          <c:smooth val="0"/>
          <c:extLst>
            <c:ext xmlns:c16="http://schemas.microsoft.com/office/drawing/2014/chart" uri="{C3380CC4-5D6E-409C-BE32-E72D297353CC}">
              <c16:uniqueId val="{00000000-F8F4-4100-A9C6-B4562D1E91E7}"/>
            </c:ext>
          </c:extLst>
        </c:ser>
        <c:dLbls>
          <c:showLegendKey val="0"/>
          <c:showVal val="0"/>
          <c:showCatName val="0"/>
          <c:showSerName val="0"/>
          <c:showPercent val="0"/>
          <c:showBubbleSize val="0"/>
        </c:dLbls>
        <c:axId val="501265328"/>
        <c:axId val="501258256"/>
        <c:extLst/>
      </c:scatterChart>
      <c:valAx>
        <c:axId val="501265328"/>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it-IT"/>
                  <a:t>Time [d]</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it-IT"/>
            </a:p>
          </c:txPr>
        </c:title>
        <c:numFmt formatCode="General" sourceLinked="1"/>
        <c:majorTickMark val="none"/>
        <c:minorTickMark val="none"/>
        <c:tickLblPos val="nextTo"/>
        <c:spPr>
          <a:noFill/>
          <a:ln w="9525" cap="flat" cmpd="sng" algn="ctr">
            <a:solidFill>
              <a:schemeClr val="tx1">
                <a:lumMod val="85000"/>
                <a:lumOff val="1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it-IT"/>
          </a:p>
        </c:txPr>
        <c:crossAx val="501258256"/>
        <c:crosses val="autoZero"/>
        <c:crossBetween val="midCat"/>
      </c:valAx>
      <c:valAx>
        <c:axId val="50125825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it-IT"/>
                  <a:t>cell concentration [g L</a:t>
                </a:r>
                <a:r>
                  <a:rPr lang="it-IT" baseline="30000"/>
                  <a:t>-1</a:t>
                </a:r>
                <a:r>
                  <a:rPr lang="it-IT"/>
                  <a:t>]</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it-IT"/>
            </a:p>
          </c:txPr>
        </c:title>
        <c:numFmt formatCode="0.00" sourceLinked="1"/>
        <c:majorTickMark val="none"/>
        <c:minorTickMark val="none"/>
        <c:tickLblPos val="nextTo"/>
        <c:spPr>
          <a:noFill/>
          <a:ln w="9525" cap="flat" cmpd="sng" algn="ctr">
            <a:solidFill>
              <a:schemeClr val="tx1">
                <a:lumMod val="85000"/>
                <a:lumOff val="1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it-IT"/>
          </a:p>
        </c:txPr>
        <c:crossAx val="501265328"/>
        <c:crosses val="autoZero"/>
        <c:crossBetween val="midCat"/>
      </c:valAx>
      <c:spPr>
        <a:noFill/>
        <a:ln>
          <a:solidFill>
            <a:schemeClr val="tx1">
              <a:lumMod val="85000"/>
              <a:lumOff val="15000"/>
            </a:schemeClr>
          </a:solidFill>
        </a:ln>
        <a:effectLst/>
      </c:spPr>
    </c:plotArea>
    <c:plotVisOnly val="1"/>
    <c:dispBlanksAs val="gap"/>
    <c:showDLblsOverMax val="0"/>
  </c:chart>
  <c:spPr>
    <a:solidFill>
      <a:schemeClr val="bg1"/>
    </a:solidFill>
    <a:ln w="9525" cap="flat" cmpd="sng" algn="ctr">
      <a:noFill/>
      <a:round/>
    </a:ln>
    <a:effectLst/>
  </c:spPr>
  <c:txPr>
    <a:bodyPr/>
    <a:lstStyle/>
    <a:p>
      <a:pPr>
        <a:defRPr>
          <a:latin typeface="Arial" panose="020B0604020202020204" pitchFamily="34" charset="0"/>
          <a:cs typeface="Arial" panose="020B0604020202020204" pitchFamily="34" charset="0"/>
        </a:defRPr>
      </a:pPr>
      <a:endParaRPr lang="it-IT"/>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1"/>
        <c:ser>
          <c:idx val="1"/>
          <c:order val="0"/>
          <c:tx>
            <c:v>2</c:v>
          </c:tx>
          <c:invertIfNegative val="1"/>
          <c:dPt>
            <c:idx val="0"/>
            <c:invertIfNegative val="1"/>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extLst>
              <c:ext xmlns:c16="http://schemas.microsoft.com/office/drawing/2014/chart" uri="{C3380CC4-5D6E-409C-BE32-E72D297353CC}">
                <c16:uniqueId val="{00000001-00FB-44DF-AD2D-3FB577105B36}"/>
              </c:ext>
            </c:extLst>
          </c:dPt>
          <c:dPt>
            <c:idx val="1"/>
            <c:invertIfNegative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extLst>
              <c:ext xmlns:c16="http://schemas.microsoft.com/office/drawing/2014/chart" uri="{C3380CC4-5D6E-409C-BE32-E72D297353CC}">
                <c16:uniqueId val="{00000003-00FB-44DF-AD2D-3FB577105B36}"/>
              </c:ext>
            </c:extLst>
          </c:dPt>
          <c:dPt>
            <c:idx val="2"/>
            <c:invertIfNegative val="1"/>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c:spPr>
            <c:extLst>
              <c:ext xmlns:c16="http://schemas.microsoft.com/office/drawing/2014/chart" uri="{C3380CC4-5D6E-409C-BE32-E72D297353CC}">
                <c16:uniqueId val="{00000005-00FB-44DF-AD2D-3FB577105B36}"/>
              </c:ext>
            </c:extLst>
          </c:dPt>
          <c:dPt>
            <c:idx val="3"/>
            <c:invertIfNegative val="1"/>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c:spPr>
            <c:extLst>
              <c:ext xmlns:c16="http://schemas.microsoft.com/office/drawing/2014/chart" uri="{C3380CC4-5D6E-409C-BE32-E72D297353CC}">
                <c16:uniqueId val="{00000007-00FB-44DF-AD2D-3FB577105B36}"/>
              </c:ext>
            </c:extLst>
          </c:dPt>
          <c:dPt>
            <c:idx val="4"/>
            <c:invertIfNegative val="1"/>
            <c:bubble3D val="0"/>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c:spPr>
            <c:extLst>
              <c:ext xmlns:c16="http://schemas.microsoft.com/office/drawing/2014/chart" uri="{C3380CC4-5D6E-409C-BE32-E72D297353CC}">
                <c16:uniqueId val="{00000009-00FB-44DF-AD2D-3FB577105B36}"/>
              </c:ext>
            </c:extLst>
          </c:dPt>
          <c:dPt>
            <c:idx val="5"/>
            <c:invertIfNegative val="1"/>
            <c:bubble3D val="0"/>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c:spPr>
            <c:extLst>
              <c:ext xmlns:c16="http://schemas.microsoft.com/office/drawing/2014/chart" uri="{C3380CC4-5D6E-409C-BE32-E72D297353CC}">
                <c16:uniqueId val="{0000000B-00FB-44DF-AD2D-3FB577105B36}"/>
              </c:ext>
            </c:extLst>
          </c:dPt>
          <c:dPt>
            <c:idx val="6"/>
            <c:invertIfNegative val="1"/>
            <c:bubble3D val="0"/>
            <c:spPr>
              <a:gradFill rotWithShape="1">
                <a:gsLst>
                  <a:gs pos="0">
                    <a:schemeClr val="accent1">
                      <a:lumMod val="60000"/>
                      <a:satMod val="103000"/>
                      <a:lumMod val="102000"/>
                      <a:tint val="94000"/>
                    </a:schemeClr>
                  </a:gs>
                  <a:gs pos="50000">
                    <a:schemeClr val="accent1">
                      <a:lumMod val="60000"/>
                      <a:satMod val="110000"/>
                      <a:lumMod val="100000"/>
                      <a:shade val="100000"/>
                    </a:schemeClr>
                  </a:gs>
                  <a:gs pos="100000">
                    <a:schemeClr val="accent1">
                      <a:lumMod val="60000"/>
                      <a:lumMod val="99000"/>
                      <a:satMod val="120000"/>
                      <a:shade val="78000"/>
                    </a:schemeClr>
                  </a:gs>
                </a:gsLst>
                <a:lin ang="5400000" scaled="0"/>
              </a:gradFill>
              <a:ln>
                <a:noFill/>
              </a:ln>
              <a:effectLst/>
            </c:spPr>
            <c:extLst>
              <c:ext xmlns:c16="http://schemas.microsoft.com/office/drawing/2014/chart" uri="{C3380CC4-5D6E-409C-BE32-E72D297353CC}">
                <c16:uniqueId val="{0000000D-00FB-44DF-AD2D-3FB577105B36}"/>
              </c:ext>
            </c:extLst>
          </c:dPt>
          <c:dPt>
            <c:idx val="7"/>
            <c:invertIfNegative val="1"/>
            <c:bubble3D val="0"/>
            <c:spPr>
              <a:gradFill rotWithShape="1">
                <a:gsLst>
                  <a:gs pos="0">
                    <a:schemeClr val="accent2">
                      <a:lumMod val="60000"/>
                      <a:satMod val="103000"/>
                      <a:lumMod val="102000"/>
                      <a:tint val="94000"/>
                    </a:schemeClr>
                  </a:gs>
                  <a:gs pos="50000">
                    <a:schemeClr val="accent2">
                      <a:lumMod val="60000"/>
                      <a:satMod val="110000"/>
                      <a:lumMod val="100000"/>
                      <a:shade val="100000"/>
                    </a:schemeClr>
                  </a:gs>
                  <a:gs pos="100000">
                    <a:schemeClr val="accent2">
                      <a:lumMod val="60000"/>
                      <a:lumMod val="99000"/>
                      <a:satMod val="120000"/>
                      <a:shade val="78000"/>
                    </a:schemeClr>
                  </a:gs>
                </a:gsLst>
                <a:lin ang="5400000" scaled="0"/>
              </a:gradFill>
              <a:ln>
                <a:noFill/>
              </a:ln>
              <a:effectLst/>
            </c:spPr>
            <c:extLst>
              <c:ext xmlns:c16="http://schemas.microsoft.com/office/drawing/2014/chart" uri="{C3380CC4-5D6E-409C-BE32-E72D297353CC}">
                <c16:uniqueId val="{0000000F-00FB-44DF-AD2D-3FB577105B36}"/>
              </c:ext>
            </c:extLst>
          </c:dPt>
          <c:dPt>
            <c:idx val="8"/>
            <c:invertIfNegative val="1"/>
            <c:bubble3D val="0"/>
            <c:spPr>
              <a:gradFill rotWithShape="1">
                <a:gsLst>
                  <a:gs pos="0">
                    <a:schemeClr val="accent3">
                      <a:lumMod val="60000"/>
                      <a:satMod val="103000"/>
                      <a:lumMod val="102000"/>
                      <a:tint val="94000"/>
                    </a:schemeClr>
                  </a:gs>
                  <a:gs pos="50000">
                    <a:schemeClr val="accent3">
                      <a:lumMod val="60000"/>
                      <a:satMod val="110000"/>
                      <a:lumMod val="100000"/>
                      <a:shade val="100000"/>
                    </a:schemeClr>
                  </a:gs>
                  <a:gs pos="100000">
                    <a:schemeClr val="accent3">
                      <a:lumMod val="60000"/>
                      <a:lumMod val="99000"/>
                      <a:satMod val="120000"/>
                      <a:shade val="78000"/>
                    </a:schemeClr>
                  </a:gs>
                </a:gsLst>
                <a:lin ang="5400000" scaled="0"/>
              </a:gradFill>
              <a:ln>
                <a:noFill/>
              </a:ln>
              <a:effectLst/>
            </c:spPr>
            <c:extLst>
              <c:ext xmlns:c16="http://schemas.microsoft.com/office/drawing/2014/chart" uri="{C3380CC4-5D6E-409C-BE32-E72D297353CC}">
                <c16:uniqueId val="{00000011-00FB-44DF-AD2D-3FB577105B36}"/>
              </c:ext>
            </c:extLst>
          </c:dPt>
          <c:dPt>
            <c:idx val="9"/>
            <c:invertIfNegative val="1"/>
            <c:bubble3D val="0"/>
            <c:spPr>
              <a:gradFill rotWithShape="1">
                <a:gsLst>
                  <a:gs pos="0">
                    <a:schemeClr val="accent4">
                      <a:lumMod val="60000"/>
                      <a:satMod val="103000"/>
                      <a:lumMod val="102000"/>
                      <a:tint val="94000"/>
                    </a:schemeClr>
                  </a:gs>
                  <a:gs pos="50000">
                    <a:schemeClr val="accent4">
                      <a:lumMod val="60000"/>
                      <a:satMod val="110000"/>
                      <a:lumMod val="100000"/>
                      <a:shade val="100000"/>
                    </a:schemeClr>
                  </a:gs>
                  <a:gs pos="100000">
                    <a:schemeClr val="accent4">
                      <a:lumMod val="60000"/>
                      <a:lumMod val="99000"/>
                      <a:satMod val="120000"/>
                      <a:shade val="78000"/>
                    </a:schemeClr>
                  </a:gs>
                </a:gsLst>
                <a:lin ang="5400000" scaled="0"/>
              </a:gradFill>
              <a:ln>
                <a:noFill/>
              </a:ln>
              <a:effectLst/>
            </c:spPr>
            <c:extLst>
              <c:ext xmlns:c16="http://schemas.microsoft.com/office/drawing/2014/chart" uri="{C3380CC4-5D6E-409C-BE32-E72D297353CC}">
                <c16:uniqueId val="{00000013-00FB-44DF-AD2D-3FB577105B36}"/>
              </c:ext>
            </c:extLst>
          </c:dPt>
          <c:dPt>
            <c:idx val="10"/>
            <c:invertIfNegative val="1"/>
            <c:bubble3D val="0"/>
            <c:spPr>
              <a:gradFill rotWithShape="1">
                <a:gsLst>
                  <a:gs pos="0">
                    <a:schemeClr val="accent5">
                      <a:lumMod val="60000"/>
                      <a:satMod val="103000"/>
                      <a:lumMod val="102000"/>
                      <a:tint val="94000"/>
                    </a:schemeClr>
                  </a:gs>
                  <a:gs pos="50000">
                    <a:schemeClr val="accent5">
                      <a:lumMod val="60000"/>
                      <a:satMod val="110000"/>
                      <a:lumMod val="100000"/>
                      <a:shade val="100000"/>
                    </a:schemeClr>
                  </a:gs>
                  <a:gs pos="100000">
                    <a:schemeClr val="accent5">
                      <a:lumMod val="60000"/>
                      <a:lumMod val="99000"/>
                      <a:satMod val="120000"/>
                      <a:shade val="78000"/>
                    </a:schemeClr>
                  </a:gs>
                </a:gsLst>
                <a:lin ang="5400000" scaled="0"/>
              </a:gradFill>
              <a:ln>
                <a:noFill/>
              </a:ln>
              <a:effectLst/>
            </c:spPr>
            <c:extLst>
              <c:ext xmlns:c16="http://schemas.microsoft.com/office/drawing/2014/chart" uri="{C3380CC4-5D6E-409C-BE32-E72D297353CC}">
                <c16:uniqueId val="{00000015-00FB-44DF-AD2D-3FB577105B36}"/>
              </c:ext>
            </c:extLst>
          </c:dPt>
          <c:dPt>
            <c:idx val="11"/>
            <c:invertIfNegative val="1"/>
            <c:bubble3D val="0"/>
            <c:spPr>
              <a:gradFill rotWithShape="1">
                <a:gsLst>
                  <a:gs pos="0">
                    <a:schemeClr val="accent6">
                      <a:lumMod val="60000"/>
                      <a:satMod val="103000"/>
                      <a:lumMod val="102000"/>
                      <a:tint val="94000"/>
                    </a:schemeClr>
                  </a:gs>
                  <a:gs pos="50000">
                    <a:schemeClr val="accent6">
                      <a:lumMod val="60000"/>
                      <a:satMod val="110000"/>
                      <a:lumMod val="100000"/>
                      <a:shade val="100000"/>
                    </a:schemeClr>
                  </a:gs>
                  <a:gs pos="100000">
                    <a:schemeClr val="accent6">
                      <a:lumMod val="60000"/>
                      <a:lumMod val="99000"/>
                      <a:satMod val="120000"/>
                      <a:shade val="78000"/>
                    </a:schemeClr>
                  </a:gs>
                </a:gsLst>
                <a:lin ang="5400000" scaled="0"/>
              </a:gradFill>
              <a:ln>
                <a:noFill/>
              </a:ln>
              <a:effectLst/>
            </c:spPr>
            <c:extLst>
              <c:ext xmlns:c16="http://schemas.microsoft.com/office/drawing/2014/chart" uri="{C3380CC4-5D6E-409C-BE32-E72D297353CC}">
                <c16:uniqueId val="{00000017-00FB-44DF-AD2D-3FB577105B36}"/>
              </c:ext>
            </c:extLst>
          </c:dPt>
          <c:dPt>
            <c:idx val="12"/>
            <c:invertIfNegative val="1"/>
            <c:bubble3D val="0"/>
            <c:spPr>
              <a:gradFill rotWithShape="1">
                <a:gsLst>
                  <a:gs pos="0">
                    <a:schemeClr val="accent1">
                      <a:lumMod val="80000"/>
                      <a:lumOff val="20000"/>
                      <a:satMod val="103000"/>
                      <a:lumMod val="102000"/>
                      <a:tint val="94000"/>
                    </a:schemeClr>
                  </a:gs>
                  <a:gs pos="50000">
                    <a:schemeClr val="accent1">
                      <a:lumMod val="80000"/>
                      <a:lumOff val="20000"/>
                      <a:satMod val="110000"/>
                      <a:lumMod val="100000"/>
                      <a:shade val="100000"/>
                    </a:schemeClr>
                  </a:gs>
                  <a:gs pos="100000">
                    <a:schemeClr val="accent1">
                      <a:lumMod val="80000"/>
                      <a:lumOff val="20000"/>
                      <a:lumMod val="99000"/>
                      <a:satMod val="120000"/>
                      <a:shade val="78000"/>
                    </a:schemeClr>
                  </a:gs>
                </a:gsLst>
                <a:lin ang="5400000" scaled="0"/>
              </a:gradFill>
              <a:ln>
                <a:noFill/>
              </a:ln>
              <a:effectLst/>
            </c:spPr>
            <c:extLst>
              <c:ext xmlns:c16="http://schemas.microsoft.com/office/drawing/2014/chart" uri="{C3380CC4-5D6E-409C-BE32-E72D297353CC}">
                <c16:uniqueId val="{00000019-00FB-44DF-AD2D-3FB577105B36}"/>
              </c:ext>
            </c:extLst>
          </c:dPt>
          <c:errBars>
            <c:errBarType val="both"/>
            <c:errValType val="cust"/>
            <c:noEndCap val="0"/>
            <c:plus>
              <c:numRef>
                <c:f>'CW2'!$K$75:$K$87</c:f>
                <c:numCache>
                  <c:formatCode>General</c:formatCode>
                  <c:ptCount val="13"/>
                  <c:pt idx="0">
                    <c:v>0.12848283550646547</c:v>
                  </c:pt>
                  <c:pt idx="1">
                    <c:v>5.0673608076670699E-2</c:v>
                  </c:pt>
                  <c:pt idx="2">
                    <c:v>4.0957581630231603</c:v>
                  </c:pt>
                  <c:pt idx="3">
                    <c:v>0</c:v>
                  </c:pt>
                  <c:pt idx="4">
                    <c:v>0.2958523240446414</c:v>
                  </c:pt>
                  <c:pt idx="5">
                    <c:v>0.23600092236064099</c:v>
                  </c:pt>
                  <c:pt idx="6">
                    <c:v>0.23600092236064099</c:v>
                  </c:pt>
                  <c:pt idx="7">
                    <c:v>0.8764668124909698</c:v>
                  </c:pt>
                  <c:pt idx="8">
                    <c:v>2.7171746980774665</c:v>
                  </c:pt>
                  <c:pt idx="9">
                    <c:v>0.5350473281856678</c:v>
                  </c:pt>
                  <c:pt idx="10">
                    <c:v>0</c:v>
                  </c:pt>
                  <c:pt idx="11">
                    <c:v>4.7029227111273629E-2</c:v>
                  </c:pt>
                  <c:pt idx="12">
                    <c:v>0.52862217866985939</c:v>
                  </c:pt>
                </c:numCache>
              </c:numRef>
            </c:plus>
            <c:minus>
              <c:numRef>
                <c:f>'CW2'!$K$75:$K$87</c:f>
                <c:numCache>
                  <c:formatCode>General</c:formatCode>
                  <c:ptCount val="13"/>
                  <c:pt idx="0">
                    <c:v>0.12848283550646547</c:v>
                  </c:pt>
                  <c:pt idx="1">
                    <c:v>5.0673608076670699E-2</c:v>
                  </c:pt>
                  <c:pt idx="2">
                    <c:v>4.0957581630231603</c:v>
                  </c:pt>
                  <c:pt idx="3">
                    <c:v>0</c:v>
                  </c:pt>
                  <c:pt idx="4">
                    <c:v>0.2958523240446414</c:v>
                  </c:pt>
                  <c:pt idx="5">
                    <c:v>0.23600092236064099</c:v>
                  </c:pt>
                  <c:pt idx="6">
                    <c:v>0.23600092236064099</c:v>
                  </c:pt>
                  <c:pt idx="7">
                    <c:v>0.8764668124909698</c:v>
                  </c:pt>
                  <c:pt idx="8">
                    <c:v>2.7171746980774665</c:v>
                  </c:pt>
                  <c:pt idx="9">
                    <c:v>0.5350473281856678</c:v>
                  </c:pt>
                  <c:pt idx="10">
                    <c:v>0</c:v>
                  </c:pt>
                  <c:pt idx="11">
                    <c:v>4.7029227111273629E-2</c:v>
                  </c:pt>
                  <c:pt idx="12">
                    <c:v>0.52862217866985939</c:v>
                  </c:pt>
                </c:numCache>
              </c:numRef>
            </c:minus>
            <c:spPr>
              <a:noFill/>
              <a:ln w="9525">
                <a:solidFill>
                  <a:schemeClr val="tx2">
                    <a:lumMod val="75000"/>
                    <a:lumOff val="25000"/>
                  </a:schemeClr>
                </a:solidFill>
                <a:round/>
              </a:ln>
              <a:effectLst/>
            </c:spPr>
          </c:errBars>
          <c:cat>
            <c:strRef>
              <c:f>'CW2'!$G$75:$G$87</c:f>
              <c:strCache>
                <c:ptCount val="13"/>
                <c:pt idx="0">
                  <c:v>C12:0</c:v>
                </c:pt>
                <c:pt idx="1">
                  <c:v>C14:0</c:v>
                </c:pt>
                <c:pt idx="2">
                  <c:v>C16:0</c:v>
                </c:pt>
                <c:pt idx="3">
                  <c:v>c16:1</c:v>
                </c:pt>
                <c:pt idx="4">
                  <c:v>c17:1</c:v>
                </c:pt>
                <c:pt idx="5">
                  <c:v>c18:0</c:v>
                </c:pt>
                <c:pt idx="6">
                  <c:v>c18:1n9</c:v>
                </c:pt>
                <c:pt idx="7">
                  <c:v>c18:2n6</c:v>
                </c:pt>
                <c:pt idx="8">
                  <c:v>c18:3n3</c:v>
                </c:pt>
                <c:pt idx="9">
                  <c:v>c20:0</c:v>
                </c:pt>
                <c:pt idx="10">
                  <c:v>c20:3n3</c:v>
                </c:pt>
                <c:pt idx="11">
                  <c:v>c20:5n3</c:v>
                </c:pt>
                <c:pt idx="12">
                  <c:v>c22:2</c:v>
                </c:pt>
              </c:strCache>
            </c:strRef>
          </c:cat>
          <c:val>
            <c:numRef>
              <c:f>'CW2'!$J$75:$J$87</c:f>
              <c:numCache>
                <c:formatCode>General</c:formatCode>
                <c:ptCount val="13"/>
                <c:pt idx="0">
                  <c:v>0.20649450826567955</c:v>
                </c:pt>
                <c:pt idx="1">
                  <c:v>0.70897554639576277</c:v>
                </c:pt>
                <c:pt idx="2">
                  <c:v>14.926834849523971</c:v>
                </c:pt>
                <c:pt idx="3">
                  <c:v>0</c:v>
                </c:pt>
                <c:pt idx="4">
                  <c:v>5.3658371382798942</c:v>
                </c:pt>
                <c:pt idx="5">
                  <c:v>0.51244631013865527</c:v>
                </c:pt>
                <c:pt idx="6">
                  <c:v>7.8753478803355605</c:v>
                </c:pt>
                <c:pt idx="7">
                  <c:v>10.977769843175366</c:v>
                </c:pt>
                <c:pt idx="8">
                  <c:v>13.098993895817042</c:v>
                </c:pt>
                <c:pt idx="9">
                  <c:v>0.37833559401582989</c:v>
                </c:pt>
                <c:pt idx="10">
                  <c:v>1.6261810619521195</c:v>
                </c:pt>
                <c:pt idx="11">
                  <c:v>3.3254685404343808E-2</c:v>
                </c:pt>
                <c:pt idx="12">
                  <c:v>0.37379232722306427</c:v>
                </c:pt>
              </c:numCache>
            </c:numRef>
          </c:val>
          <c:extLst>
            <c:ext xmlns:c16="http://schemas.microsoft.com/office/drawing/2014/chart" uri="{C3380CC4-5D6E-409C-BE32-E72D297353CC}">
              <c16:uniqueId val="{0000001A-00FB-44DF-AD2D-3FB577105B36}"/>
            </c:ext>
          </c:extLst>
        </c:ser>
        <c:dLbls>
          <c:showLegendKey val="0"/>
          <c:showVal val="0"/>
          <c:showCatName val="0"/>
          <c:showSerName val="0"/>
          <c:showPercent val="0"/>
          <c:showBubbleSize val="0"/>
        </c:dLbls>
        <c:gapWidth val="100"/>
        <c:overlap val="-24"/>
        <c:axId val="501254448"/>
        <c:axId val="501260432"/>
      </c:barChart>
      <c:catAx>
        <c:axId val="501254448"/>
        <c:scaling>
          <c:orientation val="minMax"/>
        </c:scaling>
        <c:delete val="0"/>
        <c:axPos val="b"/>
        <c:numFmt formatCode="General" sourceLinked="1"/>
        <c:majorTickMark val="none"/>
        <c:minorTickMark val="none"/>
        <c:tickLblPos val="nextTo"/>
        <c:spPr>
          <a:noFill/>
          <a:ln w="9525" cap="flat" cmpd="sng" algn="ctr">
            <a:solidFill>
              <a:sysClr val="windowText" lastClr="000000">
                <a:lumMod val="85000"/>
                <a:lumOff val="15000"/>
              </a:sysClr>
            </a:solidFill>
            <a:round/>
          </a:ln>
          <a:effectLst/>
        </c:spPr>
        <c:txPr>
          <a:bodyPr rot="-60000000" spcFirstLastPara="1" vertOverflow="ellipsis" vert="horz" wrap="square" anchor="ctr" anchorCtr="1"/>
          <a:lstStyle/>
          <a:p>
            <a:pPr>
              <a:defRPr sz="900" b="0" i="0" u="none" strike="noStrike" kern="1200" baseline="0">
                <a:ln>
                  <a:noFill/>
                </a:ln>
                <a:solidFill>
                  <a:schemeClr val="tx2"/>
                </a:solidFill>
                <a:latin typeface="Arial" panose="020B0604020202020204" pitchFamily="34" charset="0"/>
                <a:ea typeface="+mn-ea"/>
                <a:cs typeface="Arial" panose="020B0604020202020204" pitchFamily="34" charset="0"/>
              </a:defRPr>
            </a:pPr>
            <a:endParaRPr lang="it-IT"/>
          </a:p>
        </c:txPr>
        <c:crossAx val="501260432"/>
        <c:crosses val="autoZero"/>
        <c:auto val="1"/>
        <c:lblAlgn val="ctr"/>
        <c:lblOffset val="100"/>
        <c:noMultiLvlLbl val="1"/>
      </c:catAx>
      <c:valAx>
        <c:axId val="501260432"/>
        <c:scaling>
          <c:orientation val="minMax"/>
          <c:min val="0"/>
        </c:scaling>
        <c:delete val="0"/>
        <c:axPos val="l"/>
        <c:majorGridlines>
          <c:spPr>
            <a:ln w="9525" cap="flat" cmpd="sng" algn="ctr">
              <a:solidFill>
                <a:schemeClr val="tx2">
                  <a:lumMod val="15000"/>
                  <a:lumOff val="85000"/>
                </a:schemeClr>
              </a:solidFill>
              <a:round/>
            </a:ln>
            <a:effectLst/>
          </c:spPr>
        </c:majorGridlines>
        <c:title>
          <c:tx>
            <c:rich>
              <a:bodyPr rot="-5400000" spcFirstLastPara="1" vertOverflow="ellipsis" vert="horz" wrap="square" anchor="ctr" anchorCtr="1"/>
              <a:lstStyle/>
              <a:p>
                <a:pPr>
                  <a:defRPr sz="900" b="1" i="0" u="none" strike="noStrike" kern="1200" baseline="0">
                    <a:solidFill>
                      <a:schemeClr val="tx2"/>
                    </a:solidFill>
                    <a:latin typeface="Arial" panose="020B0604020202020204" pitchFamily="34" charset="0"/>
                    <a:ea typeface="+mn-ea"/>
                    <a:cs typeface="Arial" panose="020B0604020202020204" pitchFamily="34" charset="0"/>
                  </a:defRPr>
                </a:pPr>
                <a:r>
                  <a:rPr lang="it-IT" b="0"/>
                  <a:t>µg FAME/g</a:t>
                </a:r>
                <a:r>
                  <a:rPr lang="it-IT" b="0" baseline="0"/>
                  <a:t> biomass</a:t>
                </a:r>
                <a:endParaRPr lang="it-IT" b="0"/>
              </a:p>
            </c:rich>
          </c:tx>
          <c:overlay val="0"/>
          <c:spPr>
            <a:noFill/>
            <a:ln>
              <a:noFill/>
            </a:ln>
            <a:effectLst/>
          </c:spPr>
          <c:txPr>
            <a:bodyPr rot="-5400000" spcFirstLastPara="1" vertOverflow="ellipsis" vert="horz" wrap="square" anchor="ctr" anchorCtr="1"/>
            <a:lstStyle/>
            <a:p>
              <a:pPr>
                <a:defRPr sz="900" b="1" i="0" u="none" strike="noStrike" kern="1200" baseline="0">
                  <a:solidFill>
                    <a:schemeClr val="tx2"/>
                  </a:solidFill>
                  <a:latin typeface="Arial" panose="020B0604020202020204" pitchFamily="34" charset="0"/>
                  <a:ea typeface="+mn-ea"/>
                  <a:cs typeface="Arial" panose="020B0604020202020204" pitchFamily="34" charset="0"/>
                </a:defRPr>
              </a:pPr>
              <a:endParaRPr lang="it-IT"/>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Arial" panose="020B0604020202020204" pitchFamily="34" charset="0"/>
                <a:ea typeface="+mn-ea"/>
                <a:cs typeface="Arial" panose="020B0604020202020204" pitchFamily="34" charset="0"/>
              </a:defRPr>
            </a:pPr>
            <a:endParaRPr lang="it-IT"/>
          </a:p>
        </c:txPr>
        <c:crossAx val="501254448"/>
        <c:crosses val="autoZero"/>
        <c:crossBetween val="between"/>
      </c:valAx>
      <c:spPr>
        <a:noFill/>
        <a:ln>
          <a:solidFill>
            <a:sysClr val="windowText" lastClr="000000">
              <a:lumMod val="85000"/>
              <a:lumOff val="15000"/>
            </a:sysClr>
          </a:solidFill>
        </a:ln>
        <a:effectLst/>
      </c:spPr>
    </c:plotArea>
    <c:plotVisOnly val="1"/>
    <c:dispBlanksAs val="zero"/>
    <c:showDLblsOverMax val="1"/>
  </c:chart>
  <c:spPr>
    <a:solidFill>
      <a:schemeClr val="bg1"/>
    </a:solidFill>
    <a:ln w="9525" cap="flat" cmpd="sng" algn="ctr">
      <a:noFill/>
      <a:miter lim="800000"/>
    </a:ln>
    <a:effectLst/>
  </c:spPr>
  <c:txPr>
    <a:bodyPr/>
    <a:lstStyle/>
    <a:p>
      <a:pPr>
        <a:defRPr>
          <a:latin typeface="Arial" panose="020B0604020202020204" pitchFamily="34" charset="0"/>
          <a:cs typeface="Arial" panose="020B0604020202020204" pitchFamily="34" charset="0"/>
        </a:defRPr>
      </a:pPr>
      <a:endParaRPr lang="it-IT"/>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spPr>
            <a:solidFill>
              <a:schemeClr val="accent1"/>
            </a:solidFill>
            <a:ln>
              <a:noFill/>
            </a:ln>
            <a:effectLst/>
          </c:spPr>
          <c:invertIfNegative val="0"/>
          <c:cat>
            <c:strRef>
              <c:f>'abbatitmento oleico'!$C$8:$C$9</c:f>
              <c:strCache>
                <c:ptCount val="2"/>
                <c:pt idx="0">
                  <c:v>Blank</c:v>
                </c:pt>
                <c:pt idx="1">
                  <c:v>Whole cell biocatalysis</c:v>
                </c:pt>
              </c:strCache>
            </c:strRef>
          </c:cat>
          <c:val>
            <c:numRef>
              <c:f>'abbatitmento oleico'!$C$4:$C$5</c:f>
              <c:numCache>
                <c:formatCode>General</c:formatCode>
                <c:ptCount val="2"/>
                <c:pt idx="0">
                  <c:v>100</c:v>
                </c:pt>
                <c:pt idx="1">
                  <c:v>18.8</c:v>
                </c:pt>
              </c:numCache>
            </c:numRef>
          </c:val>
          <c:extLst>
            <c:ext xmlns:c16="http://schemas.microsoft.com/office/drawing/2014/chart" uri="{C3380CC4-5D6E-409C-BE32-E72D297353CC}">
              <c16:uniqueId val="{00000000-E6FF-4BCE-B343-01936BB81B0D}"/>
            </c:ext>
          </c:extLst>
        </c:ser>
        <c:dLbls>
          <c:showLegendKey val="0"/>
          <c:showVal val="0"/>
          <c:showCatName val="0"/>
          <c:showSerName val="0"/>
          <c:showPercent val="0"/>
          <c:showBubbleSize val="0"/>
        </c:dLbls>
        <c:gapWidth val="150"/>
        <c:overlap val="100"/>
        <c:axId val="501268592"/>
        <c:axId val="497646688"/>
      </c:barChart>
      <c:catAx>
        <c:axId val="501268592"/>
        <c:scaling>
          <c:orientation val="minMax"/>
        </c:scaling>
        <c:delete val="0"/>
        <c:axPos val="b"/>
        <c:numFmt formatCode="General" sourceLinked="1"/>
        <c:majorTickMark val="none"/>
        <c:minorTickMark val="none"/>
        <c:tickLblPos val="nextTo"/>
        <c:spPr>
          <a:noFill/>
          <a:ln w="9525" cap="flat" cmpd="sng" algn="ctr">
            <a:solidFill>
              <a:schemeClr val="tx1">
                <a:lumMod val="85000"/>
                <a:lumOff val="1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it-IT"/>
          </a:p>
        </c:txPr>
        <c:crossAx val="497646688"/>
        <c:crosses val="autoZero"/>
        <c:auto val="1"/>
        <c:lblAlgn val="ctr"/>
        <c:lblOffset val="100"/>
        <c:noMultiLvlLbl val="0"/>
      </c:catAx>
      <c:valAx>
        <c:axId val="497646688"/>
        <c:scaling>
          <c:orientation val="minMax"/>
          <c:max val="110"/>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it-IT"/>
                  <a:t>% relative oleic acid concentration</a:t>
                </a:r>
              </a:p>
            </c:rich>
          </c:tx>
          <c:overlay val="0"/>
          <c:spPr>
            <a:noFill/>
            <a:ln>
              <a:noFill/>
            </a:ln>
            <a:effectLst/>
          </c:spPr>
          <c:txPr>
            <a:bodyPr rot="-54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it-IT"/>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it-IT"/>
          </a:p>
        </c:txPr>
        <c:crossAx val="501268592"/>
        <c:crosses val="autoZero"/>
        <c:crossBetween val="between"/>
      </c:valAx>
      <c:spPr>
        <a:noFill/>
        <a:ln>
          <a:solidFill>
            <a:schemeClr val="tx1">
              <a:lumMod val="85000"/>
              <a:lumOff val="15000"/>
            </a:schemeClr>
          </a:solid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900">
          <a:latin typeface="Arial" panose="020B0604020202020204" pitchFamily="34" charset="0"/>
          <a:cs typeface="Arial" panose="020B0604020202020204" pitchFamily="34" charset="0"/>
        </a:defRPr>
      </a:pPr>
      <a:endParaRPr lang="it-IT"/>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5776217151143535"/>
          <c:y val="6.2535531552018186E-2"/>
          <c:w val="0.8168834433324047"/>
          <c:h val="0.81250710631040368"/>
        </c:manualLayout>
      </c:layout>
      <c:barChart>
        <c:barDir val="col"/>
        <c:grouping val="clustered"/>
        <c:varyColors val="0"/>
        <c:ser>
          <c:idx val="0"/>
          <c:order val="0"/>
          <c:spPr>
            <a:solidFill>
              <a:schemeClr val="accent1"/>
            </a:solidFill>
            <a:ln>
              <a:noFill/>
            </a:ln>
            <a:effectLst/>
          </c:spPr>
          <c:invertIfNegative val="0"/>
          <c:cat>
            <c:strRef>
              <c:f>'per cet'!$A$3:$A$7</c:f>
              <c:strCache>
                <c:ptCount val="5"/>
                <c:pt idx="0">
                  <c:v>A</c:v>
                </c:pt>
                <c:pt idx="1">
                  <c:v>B</c:v>
                </c:pt>
                <c:pt idx="2">
                  <c:v>C</c:v>
                </c:pt>
                <c:pt idx="3">
                  <c:v>D</c:v>
                </c:pt>
                <c:pt idx="4">
                  <c:v>E</c:v>
                </c:pt>
              </c:strCache>
            </c:strRef>
          </c:cat>
          <c:val>
            <c:numRef>
              <c:f>'per cet'!$F$3:$F$7</c:f>
              <c:numCache>
                <c:formatCode>General</c:formatCode>
                <c:ptCount val="5"/>
                <c:pt idx="0">
                  <c:v>0.10863599999999998</c:v>
                </c:pt>
                <c:pt idx="1">
                  <c:v>7.1039999999999992E-2</c:v>
                </c:pt>
                <c:pt idx="2">
                  <c:v>2.8439999999999983E-2</c:v>
                </c:pt>
                <c:pt idx="3">
                  <c:v>2.4590219999999989E-2</c:v>
                </c:pt>
                <c:pt idx="4">
                  <c:v>0.45177239999999996</c:v>
                </c:pt>
              </c:numCache>
            </c:numRef>
          </c:val>
          <c:extLst>
            <c:ext xmlns:c16="http://schemas.microsoft.com/office/drawing/2014/chart" uri="{C3380CC4-5D6E-409C-BE32-E72D297353CC}">
              <c16:uniqueId val="{00000000-8287-4C70-86BA-1FB67535C995}"/>
            </c:ext>
          </c:extLst>
        </c:ser>
        <c:dLbls>
          <c:showLegendKey val="0"/>
          <c:showVal val="0"/>
          <c:showCatName val="0"/>
          <c:showSerName val="0"/>
          <c:showPercent val="0"/>
          <c:showBubbleSize val="0"/>
        </c:dLbls>
        <c:gapWidth val="219"/>
        <c:overlap val="-27"/>
        <c:axId val="497643424"/>
        <c:axId val="497649952"/>
      </c:barChart>
      <c:catAx>
        <c:axId val="497643424"/>
        <c:scaling>
          <c:orientation val="minMax"/>
        </c:scaling>
        <c:delete val="0"/>
        <c:axPos val="b"/>
        <c:numFmt formatCode="General" sourceLinked="1"/>
        <c:majorTickMark val="none"/>
        <c:minorTickMark val="none"/>
        <c:tickLblPos val="nextTo"/>
        <c:spPr>
          <a:noFill/>
          <a:ln w="9525" cap="flat" cmpd="sng" algn="ctr">
            <a:solidFill>
              <a:schemeClr val="tx1">
                <a:lumMod val="85000"/>
                <a:lumOff val="1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it-IT"/>
          </a:p>
        </c:txPr>
        <c:crossAx val="497649952"/>
        <c:crosses val="autoZero"/>
        <c:auto val="1"/>
        <c:lblAlgn val="ctr"/>
        <c:lblOffset val="100"/>
        <c:noMultiLvlLbl val="0"/>
      </c:catAx>
      <c:valAx>
        <c:axId val="49764995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it-IT"/>
                  <a:t>Produced amount</a:t>
                </a:r>
                <a:r>
                  <a:rPr lang="it-IT" baseline="0"/>
                  <a:t> of</a:t>
                </a:r>
                <a:r>
                  <a:rPr lang="it-IT"/>
                  <a:t> 5-HMF *10</a:t>
                </a:r>
                <a:r>
                  <a:rPr lang="it-IT" baseline="30000"/>
                  <a:t>2 </a:t>
                </a:r>
                <a:r>
                  <a:rPr lang="it-IT" baseline="0"/>
                  <a:t>[mmol] </a:t>
                </a:r>
              </a:p>
            </c:rich>
          </c:tx>
          <c:layout>
            <c:manualLayout>
              <c:xMode val="edge"/>
              <c:yMode val="edge"/>
              <c:x val="2.5354385156159964E-2"/>
              <c:y val="8.1111315036728998E-2"/>
            </c:manualLayout>
          </c:layout>
          <c:overlay val="0"/>
          <c:spPr>
            <a:noFill/>
            <a:ln>
              <a:noFill/>
            </a:ln>
            <a:effectLst/>
          </c:spPr>
          <c:txPr>
            <a:bodyPr rot="-54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it-IT"/>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it-IT"/>
          </a:p>
        </c:txPr>
        <c:crossAx val="497643424"/>
        <c:crosses val="autoZero"/>
        <c:crossBetween val="between"/>
      </c:valAx>
      <c:spPr>
        <a:noFill/>
        <a:ln>
          <a:solidFill>
            <a:schemeClr val="tx1">
              <a:lumMod val="85000"/>
              <a:lumOff val="15000"/>
            </a:schemeClr>
          </a:solid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900">
          <a:latin typeface="Arial" panose="020B0604020202020204" pitchFamily="34" charset="0"/>
          <a:cs typeface="Arial" panose="020B0604020202020204" pitchFamily="34" charset="0"/>
        </a:defRPr>
      </a:pPr>
      <a:endParaRPr lang="it-IT"/>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Sheets">
    <a:dk1>
      <a:srgbClr val="000000"/>
    </a:dk1>
    <a:lt1>
      <a:srgbClr val="FFFFFF"/>
    </a:lt1>
    <a:dk2>
      <a:srgbClr val="000000"/>
    </a:dk2>
    <a:lt2>
      <a:srgbClr val="FFFFFF"/>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0563C1"/>
    </a:folHlink>
  </a:clrScheme>
  <a:fontScheme name="Sheets">
    <a:majorFont>
      <a:latin typeface="Calibri"/>
      <a:ea typeface="Calibri"/>
      <a:cs typeface="Calibri"/>
    </a:majorFont>
    <a:minorFont>
      <a:latin typeface="Calibri"/>
      <a:ea typeface="Calibri"/>
      <a:cs typeface="Calibri"/>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CD9E37-EE49-4791-A346-F642E2CC67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6</Pages>
  <Words>6982</Words>
  <Characters>39802</Characters>
  <Application>Microsoft Office Word</Application>
  <DocSecurity>0</DocSecurity>
  <Lines>331</Lines>
  <Paragraphs>93</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Dipartimento CMIC - Politecnico di Milano</Company>
  <LinksUpToDate>false</LinksUpToDate>
  <CharactersWithSpaces>46691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raffaella</dc:creator>
  <cp:lastModifiedBy>SERENA LIMA</cp:lastModifiedBy>
  <cp:revision>24</cp:revision>
  <cp:lastPrinted>2015-05-12T18:31:00Z</cp:lastPrinted>
  <dcterms:created xsi:type="dcterms:W3CDTF">2023-03-15T06:11:00Z</dcterms:created>
  <dcterms:modified xsi:type="dcterms:W3CDTF">2023-06-08T08:32:00Z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y fmtid="{D5CDD505-2E9C-101B-9397-08002B2CF9AE}" pid="4" name="Mendeley Recent Style Id 0_1">
    <vt:lpwstr>http://www.zotero.org/styles/algal-research</vt:lpwstr>
  </property>
  <property fmtid="{D5CDD505-2E9C-101B-9397-08002B2CF9AE}" pid="5" name="Mendeley Recent Style Name 0_1">
    <vt:lpwstr>Algal Research</vt:lpwstr>
  </property>
  <property fmtid="{D5CDD505-2E9C-101B-9397-08002B2CF9AE}" pid="6" name="Mendeley Recent Style Id 1_1">
    <vt:lpwstr>http://www.zotero.org/styles/american-medical-association</vt:lpwstr>
  </property>
  <property fmtid="{D5CDD505-2E9C-101B-9397-08002B2CF9AE}" pid="7" name="Mendeley Recent Style Name 1_1">
    <vt:lpwstr>American Medical Association 11th edition</vt:lpwstr>
  </property>
  <property fmtid="{D5CDD505-2E9C-101B-9397-08002B2CF9AE}" pid="8" name="Mendeley Recent Style Id 2_1">
    <vt:lpwstr>http://www.zotero.org/styles/apa</vt:lpwstr>
  </property>
  <property fmtid="{D5CDD505-2E9C-101B-9397-08002B2CF9AE}" pid="9" name="Mendeley Recent Style Name 2_1">
    <vt:lpwstr>American Psychological Association 7th edition</vt:lpwstr>
  </property>
  <property fmtid="{D5CDD505-2E9C-101B-9397-08002B2CF9AE}" pid="10" name="Mendeley Recent Style Id 3_1">
    <vt:lpwstr>http://www.zotero.org/styles/american-sociological-association</vt:lpwstr>
  </property>
  <property fmtid="{D5CDD505-2E9C-101B-9397-08002B2CF9AE}" pid="11" name="Mendeley Recent Style Name 3_1">
    <vt:lpwstr>American Sociological Association 6th edition</vt:lpwstr>
  </property>
  <property fmtid="{D5CDD505-2E9C-101B-9397-08002B2CF9AE}" pid="12" name="Mendeley Recent Style Id 4_1">
    <vt:lpwstr>http://www.zotero.org/styles/applied-sciences</vt:lpwstr>
  </property>
  <property fmtid="{D5CDD505-2E9C-101B-9397-08002B2CF9AE}" pid="13" name="Mendeley Recent Style Name 4_1">
    <vt:lpwstr>Applied Sciences</vt:lpwstr>
  </property>
  <property fmtid="{D5CDD505-2E9C-101B-9397-08002B2CF9AE}" pid="14" name="Mendeley Recent Style Id 5_1">
    <vt:lpwstr>http://www.zotero.org/styles/chemical-engineering-research-and-design</vt:lpwstr>
  </property>
  <property fmtid="{D5CDD505-2E9C-101B-9397-08002B2CF9AE}" pid="15" name="Mendeley Recent Style Name 5_1">
    <vt:lpwstr>Chemical Engineering Research and Design</vt:lpwstr>
  </property>
  <property fmtid="{D5CDD505-2E9C-101B-9397-08002B2CF9AE}" pid="16" name="Mendeley Recent Style Id 6_1">
    <vt:lpwstr>http://www.zotero.org/styles/journal-of-environmental-chemical-engineering</vt:lpwstr>
  </property>
  <property fmtid="{D5CDD505-2E9C-101B-9397-08002B2CF9AE}" pid="17" name="Mendeley Recent Style Name 6_1">
    <vt:lpwstr>Journal of Environmental Chemical Engineering</vt:lpwstr>
  </property>
  <property fmtid="{D5CDD505-2E9C-101B-9397-08002B2CF9AE}" pid="18" name="Mendeley Recent Style Id 7_1">
    <vt:lpwstr>http://www.zotero.org/styles/modern-humanities-research-association</vt:lpwstr>
  </property>
  <property fmtid="{D5CDD505-2E9C-101B-9397-08002B2CF9AE}" pid="19" name="Mendeley Recent Style Name 7_1">
    <vt:lpwstr>Modern Humanities Research Association 3rd edition (note with bibliography)</vt:lpwstr>
  </property>
  <property fmtid="{D5CDD505-2E9C-101B-9397-08002B2CF9AE}" pid="20" name="Mendeley Recent Style Id 8_1">
    <vt:lpwstr>http://www.zotero.org/styles/modern-language-association</vt:lpwstr>
  </property>
  <property fmtid="{D5CDD505-2E9C-101B-9397-08002B2CF9AE}" pid="21" name="Mendeley Recent Style Name 8_1">
    <vt:lpwstr>Modern Language Association 8th edition</vt:lpwstr>
  </property>
  <property fmtid="{D5CDD505-2E9C-101B-9397-08002B2CF9AE}" pid="22" name="Mendeley Recent Style Id 9_1">
    <vt:lpwstr>http://www.zotero.org/styles/process-safety-and-environmental-protection</vt:lpwstr>
  </property>
  <property fmtid="{D5CDD505-2E9C-101B-9397-08002B2CF9AE}" pid="23" name="Mendeley Recent Style Name 9_1">
    <vt:lpwstr>Process Safety and Environmental Protection</vt:lpwstr>
  </property>
  <property fmtid="{D5CDD505-2E9C-101B-9397-08002B2CF9AE}" pid="24" name="Mendeley Document_1">
    <vt:lpwstr>True</vt:lpwstr>
  </property>
  <property fmtid="{D5CDD505-2E9C-101B-9397-08002B2CF9AE}" pid="25" name="Mendeley Unique User Id_1">
    <vt:lpwstr>c0416b1d-a45d-37db-8b8d-0e4a2257ae54</vt:lpwstr>
  </property>
  <property fmtid="{D5CDD505-2E9C-101B-9397-08002B2CF9AE}" pid="26" name="Mendeley Citation Style_1">
    <vt:lpwstr>http://www.zotero.org/styles/apa</vt:lpwstr>
  </property>
</Properties>
</file>